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3E000A">
      <w:pPr>
        <w:pStyle w:val="Title"/>
      </w:pPr>
      <w:r>
        <w:t>2011-2012</w:t>
      </w:r>
    </w:p>
    <w:p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 xml:space="preserve">SCIENZE </w:t>
            </w:r>
            <w:r>
              <w:rPr>
                <w:b/>
                <w:sz w:val="24"/>
                <w:u w:val="single"/>
              </w:rPr>
              <w:t xml:space="preserve">E TECNICHE </w:t>
            </w:r>
            <w:r w:rsidR="00383AF0">
              <w:rPr>
                <w:b/>
                <w:sz w:val="24"/>
                <w:u w:val="single"/>
              </w:rPr>
              <w:t xml:space="preserve">PSICOLOGICHE </w:t>
            </w:r>
            <w:r>
              <w:rPr>
                <w:b/>
                <w:sz w:val="24"/>
                <w:u w:val="single"/>
              </w:rPr>
              <w:t>DEI PROCESSI MENTALI</w:t>
            </w:r>
            <w:r w:rsidR="00981784">
              <w:rPr>
                <w:b/>
                <w:sz w:val="24"/>
                <w:u w:val="single"/>
              </w:rPr>
              <w:t xml:space="preserve"> (L-24)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:rsidTr="00A2543E">
        <w:tc>
          <w:tcPr>
            <w:tcW w:w="2338" w:type="dxa"/>
          </w:tcPr>
          <w:p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4C2D90" w:rsidRDefault="004C2D90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 w:rsidR="008E1EC0" w:rsidRPr="008E1EC0">
              <w:rPr>
                <w:bCs/>
                <w:iCs/>
              </w:rPr>
              <w:t xml:space="preserve"> </w:t>
            </w:r>
            <w:r w:rsidR="008E1EC0" w:rsidRPr="002D6B2C">
              <w:rPr>
                <w:bCs/>
                <w:iCs/>
                <w:sz w:val="16"/>
              </w:rPr>
              <w:t>(</w:t>
            </w:r>
            <w:r w:rsidR="002D6B2C" w:rsidRPr="002D6B2C">
              <w:rPr>
                <w:bCs/>
                <w:iCs/>
                <w:sz w:val="16"/>
              </w:rPr>
              <w:t xml:space="preserve">18 ore, </w:t>
            </w:r>
            <w:r w:rsidR="00AE0A74">
              <w:rPr>
                <w:bCs/>
                <w:iCs/>
                <w:sz w:val="16"/>
              </w:rPr>
              <w:t>dal 26/09/11 al 12</w:t>
            </w:r>
            <w:r w:rsidR="00414C14">
              <w:rPr>
                <w:bCs/>
                <w:iCs/>
                <w:sz w:val="16"/>
              </w:rPr>
              <w:t>/10</w:t>
            </w:r>
            <w:r w:rsidR="00AE0A74">
              <w:rPr>
                <w:bCs/>
                <w:iCs/>
                <w:sz w:val="16"/>
              </w:rPr>
              <w:t>/11</w:t>
            </w:r>
            <w:r w:rsidR="008E1EC0" w:rsidRPr="002D6B2C">
              <w:rPr>
                <w:bCs/>
                <w:iCs/>
                <w:sz w:val="16"/>
              </w:rPr>
              <w:t>)</w:t>
            </w:r>
            <w:r>
              <w:rPr>
                <w:bCs/>
                <w:iCs/>
              </w:rPr>
              <w:t xml:space="preserve">: </w:t>
            </w:r>
            <w:r w:rsidR="003A15E6">
              <w:rPr>
                <w:bCs/>
                <w:iCs/>
              </w:rPr>
              <w:t xml:space="preserve">Il problema </w:t>
            </w:r>
            <w:proofErr w:type="gramStart"/>
            <w:r w:rsidR="003A15E6">
              <w:rPr>
                <w:bCs/>
                <w:iCs/>
              </w:rPr>
              <w:t>di fondo</w:t>
            </w:r>
            <w:proofErr w:type="gramEnd"/>
            <w:r w:rsidR="003A15E6">
              <w:rPr>
                <w:bCs/>
                <w:iCs/>
              </w:rPr>
              <w:t xml:space="preserve"> della psicologia. Di che cosa si occupa la psicologia. Elementi di storia della psicologia moderna</w:t>
            </w:r>
            <w:r w:rsidR="00A963E2">
              <w:rPr>
                <w:bCs/>
                <w:iCs/>
              </w:rPr>
              <w:t>.</w:t>
            </w:r>
            <w:r w:rsidR="003A15E6">
              <w:rPr>
                <w:bCs/>
                <w:iCs/>
              </w:rPr>
              <w:t xml:space="preserve"> La psicologia come s</w:t>
            </w:r>
            <w:r w:rsidR="00AE0A74">
              <w:rPr>
                <w:bCs/>
                <w:iCs/>
              </w:rPr>
              <w:t>c</w:t>
            </w:r>
            <w:r w:rsidR="003A15E6">
              <w:rPr>
                <w:bCs/>
                <w:iCs/>
              </w:rPr>
              <w:t>ienza.</w:t>
            </w:r>
            <w:r w:rsidR="00A963E2">
              <w:rPr>
                <w:bCs/>
                <w:iCs/>
              </w:rPr>
              <w:t xml:space="preserve"> </w:t>
            </w:r>
            <w:proofErr w:type="gramStart"/>
            <w:r w:rsidR="00A963E2">
              <w:rPr>
                <w:bCs/>
                <w:iCs/>
              </w:rPr>
              <w:t>[Vedi</w:t>
            </w:r>
            <w:proofErr w:type="gramEnd"/>
            <w:r w:rsidR="00A963E2">
              <w:rPr>
                <w:bCs/>
                <w:iCs/>
              </w:rPr>
              <w:t xml:space="preserve">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</w:t>
            </w:r>
            <w:r w:rsidR="00AE0A74">
              <w:rPr>
                <w:bCs/>
                <w:iCs/>
              </w:rPr>
              <w:t xml:space="preserve">1, </w:t>
            </w:r>
            <w:r w:rsidR="00A963E2">
              <w:rPr>
                <w:bCs/>
                <w:iCs/>
              </w:rPr>
              <w:t xml:space="preserve">2 e 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AE0A74">
              <w:rPr>
                <w:bCs/>
                <w:iCs/>
              </w:rPr>
              <w:t xml:space="preserve"> </w:t>
            </w:r>
            <w:r w:rsidR="004D4396">
              <w:rPr>
                <w:bCs/>
                <w:iCs/>
              </w:rPr>
              <w:t>1</w:t>
            </w:r>
            <w:r w:rsidR="00ED5AC6">
              <w:rPr>
                <w:bCs/>
                <w:iCs/>
              </w:rPr>
              <w:t>3</w:t>
            </w:r>
            <w:r w:rsidR="00AE0A74">
              <w:rPr>
                <w:bCs/>
                <w:iCs/>
              </w:rPr>
              <w:t xml:space="preserve">, </w:t>
            </w:r>
            <w:r w:rsidR="004609B9">
              <w:rPr>
                <w:bCs/>
                <w:iCs/>
              </w:rPr>
              <w:t>1</w:t>
            </w:r>
            <w:r w:rsidR="00ED5AC6">
              <w:rPr>
                <w:bCs/>
                <w:iCs/>
              </w:rPr>
              <w:t>4</w:t>
            </w:r>
            <w:r w:rsidR="00AE0A74">
              <w:rPr>
                <w:bCs/>
                <w:iCs/>
              </w:rPr>
              <w:t xml:space="preserve"> e </w:t>
            </w:r>
            <w:r w:rsidR="004609B9">
              <w:rPr>
                <w:bCs/>
                <w:iCs/>
              </w:rPr>
              <w:t>1</w:t>
            </w:r>
            <w:r w:rsidR="00ED5AC6">
              <w:rPr>
                <w:bCs/>
                <w:iCs/>
              </w:rPr>
              <w:t>9</w:t>
            </w:r>
            <w:r w:rsidR="00A963E2">
              <w:rPr>
                <w:bCs/>
                <w:iCs/>
              </w:rPr>
              <w:t>]</w:t>
            </w:r>
          </w:p>
          <w:p w:rsidR="007A2A62" w:rsidRPr="0048651B" w:rsidRDefault="005F03FB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48651B">
              <w:rPr>
                <w:bCs/>
                <w:i/>
                <w:iCs/>
              </w:rPr>
              <w:t>Introduzione alla psicologia evoluzionistica</w:t>
            </w:r>
            <w:r w:rsidR="008E1EC0" w:rsidRPr="0048651B">
              <w:rPr>
                <w:bCs/>
                <w:iCs/>
              </w:rPr>
              <w:t xml:space="preserve"> </w:t>
            </w:r>
            <w:r w:rsidR="008E1EC0" w:rsidRPr="0048651B">
              <w:rPr>
                <w:bCs/>
                <w:iCs/>
                <w:sz w:val="16"/>
              </w:rPr>
              <w:t>(</w:t>
            </w:r>
            <w:r w:rsidR="004E34D1">
              <w:rPr>
                <w:bCs/>
                <w:iCs/>
                <w:sz w:val="16"/>
              </w:rPr>
              <w:t>14</w:t>
            </w:r>
            <w:r w:rsidR="002D6B2C" w:rsidRPr="0048651B">
              <w:rPr>
                <w:bCs/>
                <w:iCs/>
                <w:sz w:val="16"/>
              </w:rPr>
              <w:t xml:space="preserve"> ore; </w:t>
            </w:r>
            <w:r w:rsidR="00AE0A74">
              <w:rPr>
                <w:bCs/>
                <w:iCs/>
                <w:sz w:val="16"/>
              </w:rPr>
              <w:t>dal 17</w:t>
            </w:r>
            <w:r w:rsidR="00414C14">
              <w:rPr>
                <w:bCs/>
                <w:iCs/>
                <w:sz w:val="16"/>
              </w:rPr>
              <w:t>/10</w:t>
            </w:r>
            <w:r w:rsidR="00AE0A74">
              <w:rPr>
                <w:bCs/>
                <w:iCs/>
                <w:sz w:val="16"/>
              </w:rPr>
              <w:t>/11</w:t>
            </w:r>
            <w:r w:rsidR="00414C14">
              <w:rPr>
                <w:bCs/>
                <w:iCs/>
                <w:sz w:val="16"/>
              </w:rPr>
              <w:t xml:space="preserve"> al </w:t>
            </w:r>
            <w:r w:rsidR="004E34D1">
              <w:rPr>
                <w:bCs/>
                <w:iCs/>
                <w:sz w:val="16"/>
              </w:rPr>
              <w:t>31/10</w:t>
            </w:r>
            <w:r w:rsidR="00AE0A74">
              <w:rPr>
                <w:bCs/>
                <w:iCs/>
                <w:sz w:val="16"/>
              </w:rPr>
              <w:t>/11</w:t>
            </w:r>
            <w:r w:rsidR="008E1EC0" w:rsidRPr="0048651B">
              <w:rPr>
                <w:bCs/>
                <w:iCs/>
                <w:sz w:val="16"/>
              </w:rPr>
              <w:t>)</w:t>
            </w:r>
            <w:r w:rsidR="004C2D90" w:rsidRPr="0048651B">
              <w:rPr>
                <w:bCs/>
                <w:iCs/>
              </w:rPr>
              <w:t xml:space="preserve">: </w:t>
            </w:r>
            <w:r w:rsidR="005D03F3">
              <w:rPr>
                <w:bCs/>
                <w:iCs/>
              </w:rPr>
              <w:t>Come funziona la mente; E</w:t>
            </w:r>
            <w:r w:rsidR="0048651B" w:rsidRPr="0048651B">
              <w:rPr>
                <w:bCs/>
                <w:iCs/>
              </w:rPr>
              <w:t>videnze di meccanismi inn</w:t>
            </w:r>
            <w:r w:rsidR="005D03F3">
              <w:rPr>
                <w:bCs/>
                <w:iCs/>
              </w:rPr>
              <w:t>ati e specifici di conoscenza; L</w:t>
            </w:r>
            <w:r w:rsidR="0048651B" w:rsidRPr="0048651B">
              <w:rPr>
                <w:bCs/>
                <w:iCs/>
              </w:rPr>
              <w:t>’evoluzione della mente;</w:t>
            </w:r>
            <w:r w:rsidR="005D03F3">
              <w:rPr>
                <w:bCs/>
                <w:iCs/>
              </w:rPr>
              <w:t xml:space="preserve"> L</w:t>
            </w:r>
            <w:r w:rsidR="0048651B" w:rsidRPr="0048651B">
              <w:rPr>
                <w:bCs/>
                <w:iCs/>
              </w:rPr>
              <w:t xml:space="preserve">a cultura e la </w:t>
            </w:r>
            <w:proofErr w:type="gramStart"/>
            <w:r w:rsidR="0048651B" w:rsidRPr="0048651B">
              <w:rPr>
                <w:bCs/>
                <w:iCs/>
              </w:rPr>
              <w:t>mente</w:t>
            </w:r>
            <w:proofErr w:type="gramEnd"/>
            <w:r w:rsidR="0048651B" w:rsidRPr="0048651B">
              <w:rPr>
                <w:bCs/>
                <w:iCs/>
              </w:rPr>
              <w:t xml:space="preserve"> innata</w:t>
            </w:r>
            <w:r w:rsidR="0048651B">
              <w:rPr>
                <w:bCs/>
                <w:iCs/>
              </w:rPr>
              <w:t>;</w:t>
            </w:r>
            <w:r w:rsidR="0048651B" w:rsidRPr="0048651B">
              <w:rPr>
                <w:bCs/>
                <w:iCs/>
              </w:rPr>
              <w:t xml:space="preserve"> </w:t>
            </w:r>
            <w:r w:rsidRPr="0048651B">
              <w:rPr>
                <w:bCs/>
                <w:iCs/>
              </w:rPr>
              <w:t>Choms</w:t>
            </w:r>
            <w:r w:rsidR="005D03F3">
              <w:rPr>
                <w:bCs/>
                <w:iCs/>
              </w:rPr>
              <w:t>ky e la povertà dello stimolo; L</w:t>
            </w:r>
            <w:r w:rsidRPr="0048651B">
              <w:rPr>
                <w:bCs/>
                <w:iCs/>
              </w:rPr>
              <w:t>a mente modulare.</w:t>
            </w:r>
            <w:r w:rsidR="00A963E2" w:rsidRPr="0048651B">
              <w:rPr>
                <w:bCs/>
                <w:iCs/>
              </w:rPr>
              <w:t xml:space="preserve"> </w:t>
            </w:r>
            <w:proofErr w:type="gramStart"/>
            <w:r w:rsidR="00A963E2" w:rsidRPr="0048651B">
              <w:rPr>
                <w:bCs/>
                <w:iCs/>
              </w:rPr>
              <w:t>[Vedi</w:t>
            </w:r>
            <w:proofErr w:type="gramEnd"/>
            <w:r w:rsidR="00A963E2" w:rsidRPr="0048651B">
              <w:rPr>
                <w:bCs/>
                <w:iCs/>
              </w:rPr>
              <w:t xml:space="preserve"> </w:t>
            </w:r>
            <w:r w:rsidR="00A963E2" w:rsidRPr="0048651B">
              <w:rPr>
                <w:bCs/>
                <w:i/>
                <w:iCs/>
              </w:rPr>
              <w:t>testi obbligatori</w:t>
            </w:r>
            <w:r w:rsidR="00A963E2" w:rsidRPr="0048651B">
              <w:rPr>
                <w:bCs/>
                <w:iCs/>
              </w:rPr>
              <w:t xml:space="preserve">: 3 e 4; </w:t>
            </w:r>
            <w:r w:rsidR="00303982" w:rsidRPr="0048651B">
              <w:rPr>
                <w:bCs/>
                <w:i/>
                <w:iCs/>
              </w:rPr>
              <w:t>consigliati</w:t>
            </w:r>
            <w:r w:rsidR="00A963E2" w:rsidRPr="0048651B">
              <w:rPr>
                <w:bCs/>
                <w:iCs/>
              </w:rPr>
              <w:t>:</w:t>
            </w:r>
            <w:r w:rsidR="004D4396">
              <w:rPr>
                <w:bCs/>
                <w:iCs/>
              </w:rPr>
              <w:t xml:space="preserve"> </w:t>
            </w:r>
            <w:r w:rsidR="00ED5AC6">
              <w:rPr>
                <w:bCs/>
                <w:iCs/>
              </w:rPr>
              <w:t xml:space="preserve">1, </w:t>
            </w:r>
            <w:r w:rsidR="006F0C81">
              <w:rPr>
                <w:bCs/>
                <w:iCs/>
              </w:rPr>
              <w:t>2, 3, 9</w:t>
            </w:r>
            <w:r w:rsidR="007E5145" w:rsidRPr="0048651B">
              <w:rPr>
                <w:bCs/>
                <w:iCs/>
              </w:rPr>
              <w:t>,</w:t>
            </w:r>
            <w:r w:rsidR="006F0C81">
              <w:rPr>
                <w:bCs/>
                <w:iCs/>
              </w:rPr>
              <w:t xml:space="preserve"> 11, 12, 17</w:t>
            </w:r>
            <w:r w:rsidR="004D4396">
              <w:rPr>
                <w:bCs/>
                <w:iCs/>
              </w:rPr>
              <w:t>-</w:t>
            </w:r>
            <w:r w:rsidR="007E5145" w:rsidRPr="0048651B">
              <w:rPr>
                <w:bCs/>
                <w:iCs/>
              </w:rPr>
              <w:t>1</w:t>
            </w:r>
            <w:r w:rsidR="006F0C81">
              <w:rPr>
                <w:bCs/>
                <w:iCs/>
              </w:rPr>
              <w:t>9</w:t>
            </w:r>
            <w:r w:rsidR="00A963E2" w:rsidRPr="0048651B">
              <w:rPr>
                <w:bCs/>
                <w:iCs/>
              </w:rPr>
              <w:t>]</w:t>
            </w:r>
          </w:p>
          <w:p w:rsidR="005F03FB" w:rsidRPr="00BC179B" w:rsidRDefault="005F03FB" w:rsidP="00AF517B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proofErr w:type="gramStart"/>
            <w:r w:rsidRPr="002F7181">
              <w:rPr>
                <w:bCs/>
                <w:i/>
                <w:iCs/>
              </w:rPr>
              <w:t>Introduzione alle Neuroscienze</w:t>
            </w:r>
            <w:r w:rsidR="008E1EC0" w:rsidRPr="008E1EC0">
              <w:rPr>
                <w:bCs/>
                <w:iCs/>
              </w:rPr>
              <w:t xml:space="preserve"> </w:t>
            </w:r>
            <w:r w:rsidR="008E1EC0" w:rsidRPr="002D6B2C">
              <w:rPr>
                <w:bCs/>
                <w:iCs/>
                <w:sz w:val="16"/>
              </w:rPr>
              <w:t>(</w:t>
            </w:r>
            <w:r w:rsidR="000B4FF3">
              <w:rPr>
                <w:bCs/>
                <w:iCs/>
                <w:sz w:val="16"/>
              </w:rPr>
              <w:t>14</w:t>
            </w:r>
            <w:r w:rsidR="002D6B2C" w:rsidRPr="002D6B2C">
              <w:rPr>
                <w:bCs/>
                <w:iCs/>
                <w:sz w:val="16"/>
              </w:rPr>
              <w:t xml:space="preserve"> ore; </w:t>
            </w:r>
            <w:r w:rsidR="004E34D1">
              <w:rPr>
                <w:bCs/>
                <w:iCs/>
                <w:sz w:val="16"/>
              </w:rPr>
              <w:t>dal 07</w:t>
            </w:r>
            <w:r w:rsidR="00414C14">
              <w:rPr>
                <w:bCs/>
                <w:iCs/>
                <w:sz w:val="16"/>
              </w:rPr>
              <w:t>/11</w:t>
            </w:r>
            <w:r w:rsidR="00AE0A74">
              <w:rPr>
                <w:bCs/>
                <w:iCs/>
                <w:sz w:val="16"/>
              </w:rPr>
              <w:t>/11</w:t>
            </w:r>
            <w:r w:rsidR="004E34D1">
              <w:rPr>
                <w:bCs/>
                <w:iCs/>
                <w:sz w:val="16"/>
              </w:rPr>
              <w:t xml:space="preserve"> al 23</w:t>
            </w:r>
            <w:r w:rsidR="00414C14">
              <w:rPr>
                <w:bCs/>
                <w:iCs/>
                <w:sz w:val="16"/>
              </w:rPr>
              <w:t>/11</w:t>
            </w:r>
            <w:r w:rsidR="00AE0A74">
              <w:rPr>
                <w:bCs/>
                <w:iCs/>
                <w:sz w:val="16"/>
              </w:rPr>
              <w:t>/11</w:t>
            </w:r>
            <w:r w:rsidR="008E1EC0" w:rsidRPr="002D6B2C">
              <w:rPr>
                <w:bCs/>
                <w:iCs/>
                <w:sz w:val="16"/>
              </w:rPr>
              <w:t>)</w:t>
            </w:r>
            <w:r>
              <w:rPr>
                <w:bCs/>
                <w:iCs/>
              </w:rPr>
              <w:t xml:space="preserve">: </w:t>
            </w:r>
            <w:r w:rsidR="00AF517B" w:rsidRPr="00AF517B">
              <w:rPr>
                <w:bCs/>
                <w:iCs/>
              </w:rPr>
              <w:t>Fondamenti anatomo-fisiologici della mente</w:t>
            </w:r>
            <w:r w:rsidR="005D03F3">
              <w:rPr>
                <w:bCs/>
                <w:iCs/>
              </w:rPr>
              <w:t>; L</w:t>
            </w:r>
            <w:r w:rsidRPr="005F03FB">
              <w:rPr>
                <w:bCs/>
                <w:iCs/>
              </w:rPr>
              <w:t>e rappresentazioni nervose d</w:t>
            </w:r>
            <w:proofErr w:type="gramEnd"/>
            <w:r w:rsidRPr="005F03FB">
              <w:rPr>
                <w:bCs/>
                <w:iCs/>
              </w:rPr>
              <w:t>ei processi mentali</w:t>
            </w:r>
            <w:r w:rsidR="001A03FF">
              <w:rPr>
                <w:bCs/>
                <w:iCs/>
              </w:rPr>
              <w:t xml:space="preserve">; dalle cellule </w:t>
            </w:r>
            <w:r w:rsidR="005D03F3">
              <w:rPr>
                <w:bCs/>
                <w:iCs/>
              </w:rPr>
              <w:t>nervose ai processi cognitivi; I</w:t>
            </w:r>
            <w:r w:rsidR="001A03FF">
              <w:rPr>
                <w:bCs/>
                <w:iCs/>
              </w:rPr>
              <w:t xml:space="preserve"> metodi di studio delle </w:t>
            </w:r>
            <w:r w:rsidR="005D03F3">
              <w:rPr>
                <w:bCs/>
                <w:iCs/>
              </w:rPr>
              <w:t>neuroscienze; L</w:t>
            </w:r>
            <w:r w:rsidR="001A03FF">
              <w:rPr>
                <w:bCs/>
                <w:iCs/>
              </w:rPr>
              <w:t>a rappresenta</w:t>
            </w:r>
            <w:r w:rsidR="00C37949">
              <w:rPr>
                <w:bCs/>
                <w:iCs/>
              </w:rPr>
              <w:t>zi</w:t>
            </w:r>
            <w:r w:rsidR="005D03F3">
              <w:rPr>
                <w:bCs/>
                <w:iCs/>
              </w:rPr>
              <w:t>one dello spazio e le agnosie; La lateralizzazione degli emisferi</w:t>
            </w:r>
            <w:r w:rsidR="002F7181">
              <w:rPr>
                <w:bCs/>
                <w:iCs/>
              </w:rPr>
              <w:t>.</w:t>
            </w:r>
            <w:r w:rsidR="00A963E2">
              <w:rPr>
                <w:bCs/>
                <w:iCs/>
              </w:rPr>
              <w:t xml:space="preserve"> </w:t>
            </w:r>
            <w:proofErr w:type="gramStart"/>
            <w:r w:rsidR="00A963E2">
              <w:rPr>
                <w:bCs/>
                <w:iCs/>
              </w:rPr>
              <w:t>[Vedi</w:t>
            </w:r>
            <w:proofErr w:type="gramEnd"/>
            <w:r w:rsidR="00A963E2">
              <w:rPr>
                <w:bCs/>
                <w:iCs/>
              </w:rPr>
              <w:t xml:space="preserve">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</w:t>
            </w:r>
            <w:r w:rsidR="00AF517B">
              <w:rPr>
                <w:bCs/>
                <w:iCs/>
              </w:rPr>
              <w:t xml:space="preserve">1, </w:t>
            </w:r>
            <w:r w:rsidR="00A963E2">
              <w:rPr>
                <w:bCs/>
                <w:iCs/>
              </w:rPr>
              <w:t xml:space="preserve">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4D4396">
              <w:rPr>
                <w:bCs/>
                <w:iCs/>
              </w:rPr>
              <w:t xml:space="preserve"> </w:t>
            </w:r>
            <w:r w:rsidR="00AF517B">
              <w:rPr>
                <w:bCs/>
                <w:iCs/>
              </w:rPr>
              <w:t>9-11, 15-17, 21</w:t>
            </w:r>
            <w:r w:rsidR="008D0899">
              <w:rPr>
                <w:bCs/>
                <w:iCs/>
              </w:rPr>
              <w:t xml:space="preserve">, </w:t>
            </w:r>
            <w:r w:rsidR="00AF517B">
              <w:rPr>
                <w:bCs/>
                <w:iCs/>
              </w:rPr>
              <w:t>22</w:t>
            </w:r>
            <w:r w:rsidR="00A963E2">
              <w:rPr>
                <w:bCs/>
                <w:iCs/>
              </w:rPr>
              <w:t>]</w:t>
            </w:r>
            <w:bookmarkStart w:id="0" w:name="_GoBack"/>
            <w:bookmarkEnd w:id="0"/>
          </w:p>
          <w:p w:rsidR="0062237A" w:rsidRPr="00BC179B" w:rsidRDefault="002F7181" w:rsidP="008D0899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 w:rsidR="008E1EC0" w:rsidRPr="008E1EC0">
              <w:rPr>
                <w:bCs/>
                <w:iCs/>
              </w:rPr>
              <w:t xml:space="preserve"> </w:t>
            </w:r>
            <w:r w:rsidR="008E1EC0" w:rsidRPr="002D6B2C">
              <w:rPr>
                <w:bCs/>
                <w:iCs/>
                <w:sz w:val="16"/>
              </w:rPr>
              <w:t>(</w:t>
            </w:r>
            <w:r w:rsidR="000B4FF3">
              <w:rPr>
                <w:bCs/>
                <w:iCs/>
                <w:sz w:val="16"/>
              </w:rPr>
              <w:t>18</w:t>
            </w:r>
            <w:r w:rsidR="002D6B2C" w:rsidRPr="002D6B2C">
              <w:rPr>
                <w:bCs/>
                <w:iCs/>
                <w:sz w:val="16"/>
              </w:rPr>
              <w:t xml:space="preserve"> ore; </w:t>
            </w:r>
            <w:r w:rsidR="004E34D1">
              <w:rPr>
                <w:bCs/>
                <w:iCs/>
                <w:sz w:val="16"/>
              </w:rPr>
              <w:t>dal 28</w:t>
            </w:r>
            <w:r w:rsidR="00414C14">
              <w:rPr>
                <w:bCs/>
                <w:iCs/>
                <w:sz w:val="16"/>
              </w:rPr>
              <w:t>/11</w:t>
            </w:r>
            <w:r w:rsidR="00AE0A74">
              <w:rPr>
                <w:bCs/>
                <w:iCs/>
                <w:sz w:val="16"/>
              </w:rPr>
              <w:t>/11</w:t>
            </w:r>
            <w:r w:rsidR="004E34D1">
              <w:rPr>
                <w:bCs/>
                <w:iCs/>
                <w:sz w:val="16"/>
              </w:rPr>
              <w:t xml:space="preserve"> al 20</w:t>
            </w:r>
            <w:r w:rsidR="00414C14">
              <w:rPr>
                <w:bCs/>
                <w:iCs/>
                <w:sz w:val="16"/>
              </w:rPr>
              <w:t>/12</w:t>
            </w:r>
            <w:r w:rsidR="00AE0A74">
              <w:rPr>
                <w:bCs/>
                <w:iCs/>
                <w:sz w:val="16"/>
              </w:rPr>
              <w:t>/11</w:t>
            </w:r>
            <w:r w:rsidR="008E1EC0" w:rsidRPr="002D6B2C">
              <w:rPr>
                <w:bCs/>
                <w:iCs/>
                <w:sz w:val="16"/>
              </w:rPr>
              <w:t>)</w:t>
            </w:r>
            <w:r>
              <w:rPr>
                <w:bCs/>
                <w:iCs/>
              </w:rPr>
              <w:t xml:space="preserve">: </w:t>
            </w:r>
            <w:r w:rsidR="00AF517B">
              <w:rPr>
                <w:bCs/>
                <w:iCs/>
              </w:rPr>
              <w:t xml:space="preserve">La coscienza umana e animale; </w:t>
            </w:r>
            <w:r w:rsidR="00BD461C">
              <w:rPr>
                <w:bCs/>
                <w:iCs/>
              </w:rPr>
              <w:t>La memoria: processi, modelli e amnesie</w:t>
            </w:r>
            <w:r w:rsidR="00AF517B">
              <w:rPr>
                <w:bCs/>
                <w:iCs/>
              </w:rPr>
              <w:t>; Le emozioni</w:t>
            </w:r>
            <w:r w:rsidR="001F47F7">
              <w:t>: dal corpo alla mente, la semantica dei processi psico-motori</w:t>
            </w:r>
            <w:r w:rsidR="00A963E2">
              <w:t xml:space="preserve"> </w:t>
            </w:r>
            <w:r w:rsidR="00A963E2">
              <w:rPr>
                <w:bCs/>
                <w:iCs/>
              </w:rPr>
              <w:t xml:space="preserve">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BD461C">
              <w:rPr>
                <w:bCs/>
                <w:iCs/>
              </w:rPr>
              <w:t xml:space="preserve">: </w:t>
            </w:r>
            <w:proofErr w:type="gramStart"/>
            <w:r w:rsidR="00BD461C">
              <w:rPr>
                <w:bCs/>
                <w:iCs/>
              </w:rPr>
              <w:t>1</w:t>
            </w:r>
            <w:proofErr w:type="gramEnd"/>
            <w:r w:rsidR="00BD461C">
              <w:rPr>
                <w:bCs/>
                <w:iCs/>
              </w:rPr>
              <w:t xml:space="preserve"> e 4</w:t>
            </w:r>
            <w:r w:rsidR="00AF517B">
              <w:rPr>
                <w:bCs/>
                <w:iCs/>
              </w:rPr>
              <w:t xml:space="preserve">; </w:t>
            </w:r>
            <w:r w:rsidR="00AF517B">
              <w:rPr>
                <w:bCs/>
                <w:i/>
                <w:iCs/>
              </w:rPr>
              <w:t>consigliati</w:t>
            </w:r>
            <w:r w:rsidR="00AF517B">
              <w:rPr>
                <w:bCs/>
                <w:iCs/>
              </w:rPr>
              <w:t>: 4</w:t>
            </w:r>
            <w:r w:rsidR="008D0899">
              <w:rPr>
                <w:bCs/>
                <w:iCs/>
              </w:rPr>
              <w:t>-</w:t>
            </w:r>
            <w:r w:rsidR="00AF517B">
              <w:rPr>
                <w:bCs/>
                <w:iCs/>
              </w:rPr>
              <w:t>13</w:t>
            </w:r>
            <w:r w:rsidR="008D0899">
              <w:rPr>
                <w:bCs/>
                <w:iCs/>
              </w:rPr>
              <w:t>, 18, 21, 22</w:t>
            </w:r>
            <w:r w:rsidR="00A963E2">
              <w:rPr>
                <w:bCs/>
                <w:iCs/>
              </w:rPr>
              <w:t>]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0B4FF3" w:rsidRPr="00942B92" w:rsidTr="00421911">
        <w:tc>
          <w:tcPr>
            <w:tcW w:w="2338" w:type="dxa"/>
          </w:tcPr>
          <w:p w:rsidR="00D12359" w:rsidRPr="00942B92" w:rsidRDefault="000B4FF3" w:rsidP="00421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Seminari teorico-pratici</w:t>
            </w:r>
          </w:p>
        </w:tc>
        <w:tc>
          <w:tcPr>
            <w:tcW w:w="7440" w:type="dxa"/>
          </w:tcPr>
          <w:p w:rsidR="00D12359" w:rsidRPr="00D12359" w:rsidRDefault="00701CB3" w:rsidP="00D12359">
            <w:p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701CB3">
              <w:rPr>
                <w:b/>
                <w:bCs/>
                <w:iCs/>
              </w:rPr>
              <w:t>Seminari obbligatori</w:t>
            </w:r>
            <w:r>
              <w:rPr>
                <w:b/>
                <w:bCs/>
                <w:iCs/>
              </w:rPr>
              <w:t xml:space="preserve">: </w:t>
            </w:r>
            <w:r>
              <w:rPr>
                <w:bCs/>
                <w:iCs/>
              </w:rPr>
              <w:t>S</w:t>
            </w:r>
            <w:r w:rsidR="00D12359">
              <w:rPr>
                <w:bCs/>
                <w:iCs/>
              </w:rPr>
              <w:t xml:space="preserve">ono parte integrante della frequenza al corso. Ai partecipanti che ne faranno </w:t>
            </w:r>
            <w:proofErr w:type="gramStart"/>
            <w:r w:rsidR="00D12359">
              <w:rPr>
                <w:bCs/>
                <w:iCs/>
              </w:rPr>
              <w:t>richiesta</w:t>
            </w:r>
            <w:proofErr w:type="gramEnd"/>
            <w:r w:rsidR="00D12359">
              <w:rPr>
                <w:bCs/>
                <w:iCs/>
              </w:rPr>
              <w:t xml:space="preserve"> sarà rilasciato un attestato di partecipazione con la dicitura dell’attività svolta. L’attestato potrà essere presentato nella domanda di tirocinio e valere come ore già svolte previo accordo con il tutor.</w:t>
            </w:r>
          </w:p>
          <w:p w:rsidR="000B4FF3" w:rsidRDefault="00D06C91" w:rsidP="000B4FF3">
            <w:pPr>
              <w:numPr>
                <w:ilvl w:val="0"/>
                <w:numId w:val="9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proofErr w:type="gramStart"/>
            <w:r w:rsidRPr="00D06C91">
              <w:rPr>
                <w:bCs/>
                <w:i/>
                <w:iCs/>
              </w:rPr>
              <w:t>Le emozioni</w:t>
            </w:r>
            <w:r w:rsidRPr="00D06C91">
              <w:rPr>
                <w:i/>
              </w:rPr>
              <w:t>: dal corpo alla mente, la semantica dei processi psico-motori</w:t>
            </w:r>
            <w:r w:rsidR="000B4FF3" w:rsidRPr="008E1EC0">
              <w:rPr>
                <w:bCs/>
                <w:iCs/>
              </w:rPr>
              <w:t xml:space="preserve"> </w:t>
            </w:r>
            <w:r w:rsidR="000B4FF3" w:rsidRPr="002D6B2C">
              <w:rPr>
                <w:bCs/>
                <w:iCs/>
                <w:sz w:val="16"/>
              </w:rPr>
              <w:t>(</w:t>
            </w:r>
            <w:r w:rsidR="000B4FF3">
              <w:rPr>
                <w:bCs/>
                <w:iCs/>
                <w:sz w:val="16"/>
              </w:rPr>
              <w:t>4</w:t>
            </w:r>
            <w:r w:rsidR="000B4FF3" w:rsidRPr="002D6B2C">
              <w:rPr>
                <w:bCs/>
                <w:iCs/>
                <w:sz w:val="16"/>
              </w:rPr>
              <w:t xml:space="preserve"> ore, </w:t>
            </w:r>
            <w:r w:rsidR="000B4FF3">
              <w:rPr>
                <w:bCs/>
                <w:iCs/>
                <w:sz w:val="16"/>
              </w:rPr>
              <w:t>9/11/11</w:t>
            </w:r>
            <w:r w:rsidR="000B4FF3" w:rsidRPr="002D6B2C">
              <w:rPr>
                <w:bCs/>
                <w:iCs/>
                <w:sz w:val="16"/>
              </w:rPr>
              <w:t>)</w:t>
            </w:r>
            <w:r w:rsidR="000B4FF3">
              <w:rPr>
                <w:bCs/>
                <w:iCs/>
              </w:rPr>
              <w:t xml:space="preserve">: </w:t>
            </w:r>
            <w:r w:rsidR="000B4FF3" w:rsidRPr="000B4FF3">
              <w:rPr>
                <w:bCs/>
                <w:iCs/>
              </w:rPr>
              <w:t>Dal mio corpo al tuo: il sesso e l’affetto</w:t>
            </w:r>
            <w:r w:rsidR="000B4FF3">
              <w:rPr>
                <w:bCs/>
                <w:iCs/>
              </w:rPr>
              <w:t xml:space="preserve">: </w:t>
            </w:r>
            <w:r w:rsidR="000B4FF3" w:rsidRPr="000B4FF3">
              <w:rPr>
                <w:bCs/>
                <w:iCs/>
              </w:rPr>
              <w:t>Attraverso l’uso di tecniche espressive del vissuto corporeo ed emozionale si affronteranno aspetti della rappresentazione e dei significati personali e sociali del corpo e del sesso in attività di gruppo</w:t>
            </w:r>
            <w:r w:rsidR="000B4FF3">
              <w:rPr>
                <w:bCs/>
                <w:iCs/>
              </w:rPr>
              <w:t>.</w:t>
            </w:r>
            <w:proofErr w:type="gramEnd"/>
            <w:r w:rsidR="000B4FF3">
              <w:rPr>
                <w:bCs/>
                <w:iCs/>
              </w:rPr>
              <w:t xml:space="preserve"> </w:t>
            </w:r>
            <w:proofErr w:type="gramStart"/>
            <w:r w:rsidR="000B4FF3">
              <w:rPr>
                <w:bCs/>
                <w:iCs/>
              </w:rPr>
              <w:t>[Vedi</w:t>
            </w:r>
            <w:proofErr w:type="gramEnd"/>
            <w:r w:rsidR="000B4FF3">
              <w:rPr>
                <w:bCs/>
                <w:iCs/>
              </w:rPr>
              <w:t xml:space="preserve"> </w:t>
            </w:r>
            <w:r w:rsidR="000B4FF3" w:rsidRPr="00303982">
              <w:rPr>
                <w:bCs/>
                <w:i/>
                <w:iCs/>
              </w:rPr>
              <w:t>testi obbligatori</w:t>
            </w:r>
            <w:r w:rsidR="000B4FF3">
              <w:rPr>
                <w:bCs/>
                <w:iCs/>
              </w:rPr>
              <w:t xml:space="preserve">: </w:t>
            </w:r>
            <w:r w:rsidR="00C47C03">
              <w:rPr>
                <w:bCs/>
                <w:iCs/>
              </w:rPr>
              <w:t>1</w:t>
            </w:r>
            <w:r w:rsidR="000B4FF3">
              <w:rPr>
                <w:bCs/>
                <w:iCs/>
              </w:rPr>
              <w:t xml:space="preserve"> e 4; </w:t>
            </w:r>
            <w:r w:rsidR="000B4FF3">
              <w:rPr>
                <w:bCs/>
                <w:i/>
                <w:iCs/>
              </w:rPr>
              <w:t>consigliati</w:t>
            </w:r>
            <w:r w:rsidR="000B4FF3">
              <w:rPr>
                <w:bCs/>
                <w:iCs/>
              </w:rPr>
              <w:t xml:space="preserve">: </w:t>
            </w:r>
            <w:r w:rsidR="00C47C03">
              <w:rPr>
                <w:bCs/>
                <w:iCs/>
              </w:rPr>
              <w:t>4</w:t>
            </w:r>
            <w:r w:rsidR="000B4FF3">
              <w:rPr>
                <w:bCs/>
                <w:iCs/>
              </w:rPr>
              <w:t>]</w:t>
            </w:r>
          </w:p>
          <w:p w:rsidR="000B4FF3" w:rsidRPr="00701CB3" w:rsidRDefault="000B4FF3" w:rsidP="00C47C03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gramStart"/>
            <w:r w:rsidRPr="00C47C03">
              <w:rPr>
                <w:i/>
              </w:rPr>
              <w:t xml:space="preserve">Disturbi specifici dell’apprendimento </w:t>
            </w:r>
            <w:r w:rsidRPr="00C47C03">
              <w:rPr>
                <w:bCs/>
                <w:iCs/>
                <w:sz w:val="16"/>
              </w:rPr>
              <w:t xml:space="preserve">(4 ore, </w:t>
            </w:r>
            <w:r w:rsidR="00C47C03">
              <w:rPr>
                <w:bCs/>
                <w:iCs/>
                <w:sz w:val="16"/>
              </w:rPr>
              <w:t>7</w:t>
            </w:r>
            <w:r w:rsidRPr="00C47C03">
              <w:rPr>
                <w:bCs/>
                <w:iCs/>
                <w:sz w:val="16"/>
              </w:rPr>
              <w:t>/1</w:t>
            </w:r>
            <w:r w:rsidR="00C47C03">
              <w:rPr>
                <w:bCs/>
                <w:iCs/>
                <w:sz w:val="16"/>
              </w:rPr>
              <w:t>2</w:t>
            </w:r>
            <w:r w:rsidRPr="00C47C03">
              <w:rPr>
                <w:bCs/>
                <w:iCs/>
                <w:sz w:val="16"/>
              </w:rPr>
              <w:t>/11)</w:t>
            </w:r>
            <w:r>
              <w:t xml:space="preserve">: </w:t>
            </w:r>
            <w:r w:rsidR="00C47C03" w:rsidRPr="00C47C03">
              <w:t>Dislessia, disgr</w:t>
            </w:r>
            <w:r w:rsidR="00C47C03">
              <w:t>afia, disortografia, discalculia</w:t>
            </w:r>
            <w:proofErr w:type="gramEnd"/>
            <w:r w:rsidR="00C47C03">
              <w:t xml:space="preserve">. Parteciperanno </w:t>
            </w:r>
            <w:proofErr w:type="gramStart"/>
            <w:r w:rsidR="00C47C03">
              <w:t>al Seminario esperti</w:t>
            </w:r>
            <w:proofErr w:type="gramEnd"/>
            <w:r w:rsidR="00C47C03">
              <w:t xml:space="preserve"> del Centro Specialistico per la Dislessia, le Difficoltà di Apprendimento e di Linguaggio – F.A.R.E. di Perugia. </w:t>
            </w:r>
            <w:proofErr w:type="gramStart"/>
            <w:r w:rsidR="00C47C03">
              <w:rPr>
                <w:bCs/>
                <w:iCs/>
              </w:rPr>
              <w:t>[Vedi</w:t>
            </w:r>
            <w:proofErr w:type="gramEnd"/>
            <w:r w:rsidR="00C47C03">
              <w:rPr>
                <w:bCs/>
                <w:iCs/>
              </w:rPr>
              <w:t xml:space="preserve"> </w:t>
            </w:r>
            <w:r w:rsidR="00C47C03" w:rsidRPr="00303982">
              <w:rPr>
                <w:bCs/>
                <w:i/>
                <w:iCs/>
              </w:rPr>
              <w:t>testi obbligatori</w:t>
            </w:r>
            <w:r w:rsidR="00C47C03">
              <w:rPr>
                <w:bCs/>
                <w:iCs/>
              </w:rPr>
              <w:t xml:space="preserve">: 1 e 4; </w:t>
            </w:r>
            <w:r w:rsidR="00C47C03">
              <w:rPr>
                <w:bCs/>
                <w:i/>
                <w:iCs/>
              </w:rPr>
              <w:t>consigliati</w:t>
            </w:r>
            <w:r w:rsidR="00C47C03">
              <w:rPr>
                <w:bCs/>
                <w:iCs/>
              </w:rPr>
              <w:t>: 6, 13, 18, 22]</w:t>
            </w:r>
          </w:p>
          <w:p w:rsidR="00701CB3" w:rsidRPr="00C47C03" w:rsidRDefault="00701CB3" w:rsidP="00701CB3">
            <w:pPr>
              <w:jc w:val="both"/>
            </w:pPr>
            <w:r w:rsidRPr="00701CB3">
              <w:rPr>
                <w:b/>
                <w:bCs/>
                <w:iCs/>
              </w:rPr>
              <w:t xml:space="preserve">Seminari </w:t>
            </w:r>
            <w:r>
              <w:rPr>
                <w:b/>
                <w:bCs/>
                <w:iCs/>
              </w:rPr>
              <w:t xml:space="preserve">facoltativi: </w:t>
            </w:r>
            <w:r>
              <w:rPr>
                <w:bCs/>
                <w:iCs/>
              </w:rPr>
              <w:t xml:space="preserve">Non sono obbligatori e non </w:t>
            </w:r>
            <w:proofErr w:type="gramStart"/>
            <w:r>
              <w:rPr>
                <w:bCs/>
                <w:iCs/>
              </w:rPr>
              <w:t>viene</w:t>
            </w:r>
            <w:proofErr w:type="gramEnd"/>
            <w:r>
              <w:rPr>
                <w:bCs/>
                <w:iCs/>
              </w:rPr>
              <w:t xml:space="preserve"> quindi raccolta la firma di frequenza. Sono a numero chiuso (max 30) e vi potranno partecipare solo colo</w:t>
            </w:r>
            <w:r w:rsidR="00437572">
              <w:rPr>
                <w:bCs/>
                <w:iCs/>
              </w:rPr>
              <w:t>ro</w:t>
            </w:r>
            <w:r>
              <w:rPr>
                <w:bCs/>
                <w:iCs/>
              </w:rPr>
              <w:t xml:space="preserve"> che si saranno prenotati. Sono destinati alla lettura dei testi d’esame. Si svolgeranno tra il 9 e il 20 gennaio 2012. Calendario degli incontri, tematiche e iscrizioni dei seminari di lettura verranno pubblicati sul sito web </w:t>
            </w:r>
            <w:hyperlink r:id="rId8" w:history="1">
              <w:r w:rsidRPr="002B5491">
                <w:rPr>
                  <w:rStyle w:val="Hyperlink"/>
                  <w:bCs/>
                  <w:iCs/>
                </w:rPr>
                <w:t>www.cognitivelab.it</w:t>
              </w:r>
            </w:hyperlink>
            <w:r>
              <w:rPr>
                <w:bCs/>
                <w:iCs/>
              </w:rPr>
              <w:t>.</w:t>
            </w:r>
          </w:p>
        </w:tc>
      </w:tr>
    </w:tbl>
    <w:p w:rsidR="000B4FF3" w:rsidRDefault="000B4FF3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:rsidTr="00421911">
        <w:tc>
          <w:tcPr>
            <w:tcW w:w="2338" w:type="dxa"/>
          </w:tcPr>
          <w:p w:rsidR="00C47C03" w:rsidRPr="00942B92" w:rsidRDefault="00C47C03" w:rsidP="004219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C47C03" w:rsidRDefault="00C47C03" w:rsidP="00C47C03">
            <w:pPr>
              <w:jc w:val="both"/>
            </w:pPr>
            <w:r>
              <w:t xml:space="preserve">Durante lo svolgimento del corso </w:t>
            </w:r>
            <w:proofErr w:type="gramStart"/>
            <w:r>
              <w:t>verranno</w:t>
            </w:r>
            <w:proofErr w:type="gramEnd"/>
            <w:r>
              <w:t xml:space="preserve">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 xml:space="preserve">he richiederanno la partecipazione volontaria degli studenti del corso. La partecipazione alle sperimentazioni darà diritto </w:t>
            </w:r>
            <w:proofErr w:type="gramStart"/>
            <w:r w:rsidR="00D12359">
              <w:t>ad</w:t>
            </w:r>
            <w:proofErr w:type="gramEnd"/>
            <w:r w:rsidR="00D12359">
              <w:t xml:space="preserve"> un numero di crediti pari al tempo della durata delle sperimentazioni a cui si avrà partecipato cumulabili </w:t>
            </w:r>
            <w:r w:rsidR="00D12359">
              <w:lastRenderedPageBreak/>
              <w:t>con il punteggio ottenuto alla prova scritta d’esame.</w:t>
            </w:r>
          </w:p>
          <w:p w:rsidR="00D12359" w:rsidRPr="00C47C03" w:rsidRDefault="00D12359" w:rsidP="00C47C03">
            <w:pPr>
              <w:jc w:val="both"/>
            </w:pPr>
            <w:r>
              <w:t xml:space="preserve">Date e temi delle sperimentazione verranno di volta in volta comunicati sul sito web </w:t>
            </w:r>
            <w:hyperlink r:id="rId9" w:history="1">
              <w:r w:rsidRPr="00D56148">
                <w:rPr>
                  <w:rStyle w:val="Hyperlink"/>
                </w:rPr>
                <w:t>www.cognitivelab.it</w:t>
              </w:r>
            </w:hyperlink>
            <w:r>
              <w:t xml:space="preserve"> </w:t>
            </w:r>
          </w:p>
        </w:tc>
      </w:tr>
    </w:tbl>
    <w:p w:rsidR="00C47C03" w:rsidRDefault="00C47C03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Lezioni frontali relative al programma istituzionale. </w:t>
            </w:r>
            <w:r w:rsidR="00DD0490">
              <w:rPr>
                <w:bCs/>
                <w:iCs/>
              </w:rPr>
              <w:t>Laboratori</w:t>
            </w:r>
            <w:r w:rsidR="008D0899">
              <w:rPr>
                <w:bCs/>
                <w:iCs/>
              </w:rPr>
              <w:t xml:space="preserve"> di lettura e approfondimento dei</w:t>
            </w:r>
            <w:r>
              <w:rPr>
                <w:bCs/>
                <w:iCs/>
              </w:rPr>
              <w:t xml:space="preserve"> testi</w:t>
            </w:r>
            <w:r w:rsidR="008D0899">
              <w:rPr>
                <w:bCs/>
                <w:iCs/>
              </w:rPr>
              <w:t xml:space="preserve"> d’esame (Gennaio 2012</w:t>
            </w:r>
            <w:r w:rsidR="004D4396">
              <w:rPr>
                <w:bCs/>
                <w:iCs/>
              </w:rPr>
              <w:t>)</w:t>
            </w:r>
            <w:r w:rsidR="00DD0490">
              <w:rPr>
                <w:bCs/>
                <w:iCs/>
              </w:rPr>
              <w:t>.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6335E1" w:rsidRPr="003D5855" w:rsidRDefault="00737524" w:rsidP="00C47C03">
            <w:pPr>
              <w:jc w:val="both"/>
            </w:pPr>
            <w:r w:rsidRPr="00737524">
              <w:rPr>
                <w:bCs/>
                <w:iCs/>
              </w:rPr>
              <w:t>L’esame è sia scritto che orale. Durante l’esame verrà somministrato,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10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Pr="00737524">
              <w:rPr>
                <w:bCs/>
                <w:iCs/>
              </w:rPr>
              <w:t>1 questionario con 16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C47C03">
              <w:rPr>
                <w:bCs/>
                <w:iCs/>
              </w:rPr>
              <w:t>) relativo al manuale</w:t>
            </w:r>
            <w:r w:rsidRPr="00737524">
              <w:rPr>
                <w:bCs/>
                <w:iCs/>
              </w:rPr>
              <w:t xml:space="preserve"> di </w:t>
            </w:r>
            <w:r w:rsidR="006555AE" w:rsidRPr="006555AE">
              <w:rPr>
                <w:bCs/>
                <w:i/>
                <w:iCs/>
              </w:rPr>
              <w:t>Atkinson &amp; Hilgard’s Introduzione alla Psicologia</w:t>
            </w:r>
            <w:r w:rsidR="00C47C03">
              <w:rPr>
                <w:bCs/>
                <w:iCs/>
              </w:rPr>
              <w:t xml:space="preserve"> e di </w:t>
            </w:r>
            <w:r w:rsidR="00C47C03">
              <w:rPr>
                <w:bCs/>
                <w:i/>
                <w:iCs/>
              </w:rPr>
              <w:t xml:space="preserve">Storia della psicologia. </w:t>
            </w:r>
            <w:r w:rsidRPr="00737524">
              <w:rPr>
                <w:bCs/>
                <w:iCs/>
              </w:rPr>
              <w:t xml:space="preserve">Quanti avranno superato la prova scritta (almeno </w:t>
            </w:r>
            <w:proofErr w:type="gramStart"/>
            <w:r w:rsidRPr="00737524">
              <w:rPr>
                <w:b/>
                <w:bCs/>
                <w:iCs/>
              </w:rPr>
              <w:t>9</w:t>
            </w:r>
            <w:proofErr w:type="gramEnd"/>
            <w:r w:rsidRPr="00737524">
              <w:rPr>
                <w:b/>
                <w:bCs/>
                <w:iCs/>
              </w:rPr>
              <w:t xml:space="preserve"> punti</w:t>
            </w:r>
            <w:r w:rsidRPr="00737524">
              <w:rPr>
                <w:bCs/>
                <w:iCs/>
              </w:rPr>
              <w:t xml:space="preserve"> che possono essere raggiunti con almeno 9 risposte esatte oppure con le risposte esatte </w:t>
            </w:r>
            <w:r w:rsidR="00C47C03">
              <w:rPr>
                <w:bCs/>
                <w:iCs/>
              </w:rPr>
              <w:t>(</w:t>
            </w:r>
            <w:r w:rsidRPr="00737524">
              <w:rPr>
                <w:bCs/>
                <w:iCs/>
              </w:rPr>
              <w:t>più il numero di crediti acquisiti durante le sperimentazioni) sosterranno successivamente (nello stesso giorno) la prova orale sull’intero programma d’esame.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:rsidTr="00A2543E">
        <w:tc>
          <w:tcPr>
            <w:tcW w:w="977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</w:t>
            </w:r>
            <w:proofErr w:type="gramStart"/>
            <w:r w:rsidR="00B303DC">
              <w:rPr>
                <w:i/>
              </w:rPr>
              <w:t>testi</w:t>
            </w:r>
            <w:proofErr w:type="gramEnd"/>
            <w:r w:rsidR="00B303DC">
              <w:rPr>
                <w:i/>
              </w:rPr>
              <w:t xml:space="preserve">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174A90" w:rsidRDefault="006555AE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174A90">
              <w:rPr>
                <w:lang w:val="en-US"/>
              </w:rPr>
              <w:t>Nolen-</w:t>
            </w:r>
            <w:proofErr w:type="spellStart"/>
            <w:r w:rsidRPr="00174A90">
              <w:rPr>
                <w:lang w:val="en-US"/>
              </w:rPr>
              <w:t>Hoeksema</w:t>
            </w:r>
            <w:proofErr w:type="spellEnd"/>
            <w:r w:rsidRPr="00174A90">
              <w:rPr>
                <w:lang w:val="en-US"/>
              </w:rPr>
              <w:t xml:space="preserve">, S., Fredrickson, B. L., Loftus, G. R., &amp; </w:t>
            </w:r>
            <w:proofErr w:type="spellStart"/>
            <w:r w:rsidRPr="00174A90">
              <w:rPr>
                <w:lang w:val="en-US"/>
              </w:rPr>
              <w:t>Wagenaar</w:t>
            </w:r>
            <w:proofErr w:type="spellEnd"/>
            <w:r w:rsidRPr="00174A90">
              <w:rPr>
                <w:lang w:val="en-US"/>
              </w:rPr>
              <w:t xml:space="preserve">, W. A. (2011). </w:t>
            </w:r>
            <w:r w:rsidRPr="00174A90">
              <w:rPr>
                <w:i/>
              </w:rPr>
              <w:t>Atkinson &amp; Hilgard’s Introduzione alla Psicologia</w:t>
            </w:r>
            <w:r w:rsidRPr="006555AE">
              <w:t>. Padova: Piccin. (</w:t>
            </w:r>
            <w:r>
              <w:t>C</w:t>
            </w:r>
            <w:r w:rsidRPr="006555AE">
              <w:t>apitoli</w:t>
            </w:r>
            <w:r>
              <w:t xml:space="preserve"> da studiare: 1-12, </w:t>
            </w:r>
            <w:r w:rsidRPr="00174A90">
              <w:rPr>
                <w:i/>
              </w:rPr>
              <w:t>Appendice</w:t>
            </w:r>
            <w:r>
              <w:t xml:space="preserve"> e </w:t>
            </w:r>
            <w:r w:rsidRPr="00174A90">
              <w:rPr>
                <w:i/>
              </w:rPr>
              <w:t xml:space="preserve">Glossario; </w:t>
            </w:r>
            <w:r>
              <w:t>sono esclusi i capitoli</w:t>
            </w:r>
            <w:r w:rsidRPr="006555AE">
              <w:t xml:space="preserve"> </w:t>
            </w:r>
            <w:r>
              <w:t>13-18</w:t>
            </w:r>
            <w:proofErr w:type="gramStart"/>
            <w:r w:rsidRPr="006555AE">
              <w:t>)</w:t>
            </w:r>
            <w:proofErr w:type="gramEnd"/>
          </w:p>
        </w:tc>
      </w:tr>
      <w:tr w:rsidR="006335E1" w:rsidRPr="00942B92" w:rsidTr="00A2543E">
        <w:tc>
          <w:tcPr>
            <w:tcW w:w="9778" w:type="dxa"/>
          </w:tcPr>
          <w:p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174A9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174A90">
              <w:rPr>
                <w:smallCaps/>
              </w:rPr>
              <w:t>Adenzato, M., &amp; Meini, C.</w:t>
            </w:r>
            <w:r w:rsidR="003E54FD">
              <w:t xml:space="preserve"> (a cura)</w:t>
            </w:r>
            <w:r w:rsidRPr="00324FF0">
              <w:t xml:space="preserve"> (2006). </w:t>
            </w:r>
            <w:r w:rsidRPr="00174A90">
              <w:rPr>
                <w:i/>
              </w:rPr>
              <w:t>Psicologia evoluzionistica</w:t>
            </w:r>
            <w:r w:rsidRPr="00324FF0">
              <w:t>. Torino: Bollati Boringhieri</w:t>
            </w:r>
            <w:r>
              <w:t xml:space="preserve"> </w:t>
            </w:r>
            <w:r w:rsidR="00E3166D">
              <w:t xml:space="preserve">(Capitoli: </w:t>
            </w:r>
            <w:r w:rsidR="003A64C5" w:rsidRPr="00174A90">
              <w:rPr>
                <w:i/>
              </w:rPr>
              <w:t>Introduzione</w:t>
            </w:r>
            <w:r w:rsidR="003A64C5">
              <w:t>,</w:t>
            </w:r>
            <w:r w:rsidR="006555AE">
              <w:t xml:space="preserve"> </w:t>
            </w:r>
            <w:proofErr w:type="gramStart"/>
            <w:r w:rsidR="006555AE">
              <w:t>1</w:t>
            </w:r>
            <w:proofErr w:type="gramEnd"/>
            <w:r w:rsidR="006555AE">
              <w:t>, 2, 3, 4, 5, 6, 7 e 9</w:t>
            </w:r>
            <w:r w:rsidR="00E3166D">
              <w:t>)</w:t>
            </w:r>
            <w:r w:rsidRPr="00324FF0">
              <w:t>.</w:t>
            </w:r>
          </w:p>
        </w:tc>
      </w:tr>
      <w:tr w:rsidR="00E3166D" w:rsidRPr="00942B92" w:rsidTr="00A2543E">
        <w:tc>
          <w:tcPr>
            <w:tcW w:w="9778" w:type="dxa"/>
          </w:tcPr>
          <w:p w:rsidR="00E3166D" w:rsidRPr="00174A90" w:rsidRDefault="00E3166D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174A90">
              <w:rPr>
                <w:i/>
              </w:rPr>
              <w:t>Linee guida di Psicologia generale</w:t>
            </w:r>
            <w:r w:rsidR="00B24DE9">
              <w:t xml:space="preserve"> (2</w:t>
            </w:r>
            <w:r w:rsidR="006555AE">
              <w:t>011-2012</w:t>
            </w:r>
            <w:r>
              <w:t xml:space="preserve">) disponibili online al sito: </w:t>
            </w:r>
            <w:hyperlink r:id="rId11" w:history="1">
              <w:r w:rsidR="00B24DE9"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</w:p>
        </w:tc>
      </w:tr>
      <w:tr w:rsidR="00B763BD" w:rsidRPr="00942B92" w:rsidTr="00A2543E">
        <w:tc>
          <w:tcPr>
            <w:tcW w:w="9778" w:type="dxa"/>
          </w:tcPr>
          <w:p w:rsidR="00B763BD" w:rsidRPr="00C962BA" w:rsidRDefault="00B763BD" w:rsidP="00356B2B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Testi consigliati</w:t>
            </w:r>
            <w:r w:rsidR="00476537" w:rsidRPr="00476537">
              <w:t xml:space="preserve"> </w:t>
            </w:r>
            <w:r w:rsidR="00476537">
              <w:rPr>
                <w:i/>
              </w:rPr>
              <w:t>(si consiglia la lettura di uno o più dei seguenti testi di approfondimento</w:t>
            </w:r>
            <w:r w:rsidR="00A2543E">
              <w:rPr>
                <w:i/>
              </w:rPr>
              <w:t>; durante il corso saranno</w:t>
            </w:r>
            <w:r w:rsidR="00476537">
              <w:rPr>
                <w:i/>
              </w:rPr>
              <w:t xml:space="preserve"> previsti dei </w:t>
            </w:r>
            <w:r w:rsidR="00DD0490">
              <w:rPr>
                <w:i/>
              </w:rPr>
              <w:t>laboratori</w:t>
            </w:r>
            <w:r w:rsidR="00476537">
              <w:rPr>
                <w:i/>
              </w:rPr>
              <w:t xml:space="preserve"> di lettura e approfondimento di alcuni dei testi con</w:t>
            </w:r>
            <w:r w:rsidR="00950AD5">
              <w:rPr>
                <w:i/>
              </w:rPr>
              <w:t>sig</w:t>
            </w:r>
            <w:r w:rsidR="00476537">
              <w:rPr>
                <w:i/>
              </w:rPr>
              <w:t>liati; a</w:t>
            </w:r>
            <w:r w:rsidR="00950AD5">
              <w:rPr>
                <w:i/>
              </w:rPr>
              <w:t xml:space="preserve">gli studenti che avranno partecipato ai </w:t>
            </w:r>
            <w:r w:rsidR="00DD0490">
              <w:rPr>
                <w:i/>
              </w:rPr>
              <w:t>laboratori</w:t>
            </w:r>
            <w:r w:rsidR="00950AD5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>
              <w:rPr>
                <w:i/>
              </w:rPr>
              <w:t>,</w:t>
            </w:r>
            <w:r w:rsidR="00950AD5">
              <w:rPr>
                <w:i/>
              </w:rPr>
              <w:t xml:space="preserve"> e la valutazione finale dell’esame terrà conto anche di questa preparazione che resta comunque facoltativa</w:t>
            </w:r>
            <w:proofErr w:type="gramEnd"/>
            <w:r w:rsidR="00950AD5">
              <w:rPr>
                <w:i/>
              </w:rPr>
              <w:t>)</w:t>
            </w:r>
            <w:r w:rsidRPr="00476537">
              <w:t>:</w:t>
            </w:r>
          </w:p>
        </w:tc>
      </w:tr>
      <w:tr w:rsidR="004609B9" w:rsidRPr="005D03F3" w:rsidTr="00A2543E">
        <w:tc>
          <w:tcPr>
            <w:tcW w:w="9778" w:type="dxa"/>
          </w:tcPr>
          <w:p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hyperlink r:id="rId12" w:history="1">
              <w:r w:rsidR="00356B2B"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5C7317" w:rsidRPr="005C7317" w:rsidTr="00A2543E">
        <w:tc>
          <w:tcPr>
            <w:tcW w:w="9778" w:type="dxa"/>
          </w:tcPr>
          <w:p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proofErr w:type="spellStart"/>
            <w:r w:rsidRPr="005C7317">
              <w:rPr>
                <w:smallCaps/>
              </w:rPr>
              <w:t>Camperio</w:t>
            </w:r>
            <w:proofErr w:type="spellEnd"/>
            <w:r w:rsidRPr="005C7317">
              <w:rPr>
                <w:smallCaps/>
              </w:rPr>
              <w:t xml:space="preserve"> Ciani, A., Corna, F., &amp; </w:t>
            </w:r>
            <w:proofErr w:type="spellStart"/>
            <w:r w:rsidRPr="005C7317">
              <w:rPr>
                <w:smallCaps/>
              </w:rPr>
              <w:t>Capiluppi</w:t>
            </w:r>
            <w:proofErr w:type="spellEnd"/>
            <w:r w:rsidRPr="005C7317">
              <w:rPr>
                <w:smallCaps/>
              </w:rPr>
              <w:t xml:space="preserve">, C. (2004). </w:t>
            </w:r>
            <w:r w:rsidRPr="005C7317">
              <w:rPr>
                <w:lang w:val="en-US"/>
              </w:rPr>
              <w:t xml:space="preserve">Evidence for maternally inherited factors </w:t>
            </w:r>
            <w:proofErr w:type="spellStart"/>
            <w:r w:rsidRPr="005C7317">
              <w:rPr>
                <w:lang w:val="en-US"/>
              </w:rPr>
              <w:t>favouring</w:t>
            </w:r>
            <w:proofErr w:type="spellEnd"/>
            <w:r w:rsidRPr="005C7317">
              <w:rPr>
                <w:lang w:val="en-US"/>
              </w:rPr>
              <w:t xml:space="preserve">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6F0C81" w:rsidRPr="00942B92" w:rsidTr="00A2543E">
        <w:tc>
          <w:tcPr>
            <w:tcW w:w="9778" w:type="dxa"/>
          </w:tcPr>
          <w:p w:rsidR="006F0C81" w:rsidRPr="006F0C81" w:rsidRDefault="006F0C81" w:rsidP="006F0C8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proofErr w:type="spellStart"/>
            <w:r>
              <w:rPr>
                <w:smallCaps/>
              </w:rPr>
              <w:t>Eibl-Eibesfeldt</w:t>
            </w:r>
            <w:proofErr w:type="spellEnd"/>
            <w:r>
              <w:rPr>
                <w:smallCaps/>
              </w:rPr>
              <w:t xml:space="preserve">, I. </w:t>
            </w:r>
            <w:r w:rsidRPr="006F0C81">
              <w:t xml:space="preserve">(2001). </w:t>
            </w:r>
            <w:r w:rsidRPr="006F0C81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942B92" w:rsidTr="00A2543E">
        <w:tc>
          <w:tcPr>
            <w:tcW w:w="9778" w:type="dxa"/>
          </w:tcPr>
          <w:p w:rsidR="00F171C6" w:rsidRDefault="00F171C6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Federici</w:t>
            </w:r>
            <w:r w:rsidRPr="0011407E">
              <w:t xml:space="preserve">, S. (2002). </w:t>
            </w:r>
            <w:r w:rsidRPr="00A329DB">
              <w:rPr>
                <w:i/>
                <w:iCs/>
              </w:rPr>
              <w:t xml:space="preserve">Sessualità alterabili. </w:t>
            </w:r>
            <w:proofErr w:type="gramStart"/>
            <w:r w:rsidRPr="00A329DB">
              <w:rPr>
                <w:i/>
                <w:iCs/>
              </w:rPr>
              <w:t>Indagine sulle influenze socioambientali nello sviluppo della sessualità di persone con disabilità in Italia</w:t>
            </w:r>
            <w:proofErr w:type="gramEnd"/>
            <w:r>
              <w:t>. Roma</w:t>
            </w:r>
            <w:r w:rsidRPr="0011407E">
              <w:t>: Kappa.</w:t>
            </w:r>
          </w:p>
        </w:tc>
      </w:tr>
      <w:tr w:rsidR="00F171C6" w:rsidRPr="00B255CA" w:rsidTr="00A2543E">
        <w:tc>
          <w:tcPr>
            <w:tcW w:w="9778" w:type="dxa"/>
          </w:tcPr>
          <w:p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</w:t>
            </w:r>
            <w:proofErr w:type="gramStart"/>
            <w:r w:rsidRPr="00B255CA">
              <w:t xml:space="preserve">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</w:t>
            </w:r>
            <w:proofErr w:type="gramEnd"/>
            <w:r w:rsidRPr="00A329DB">
              <w:rPr>
                <w:i/>
                <w:iCs/>
              </w:rPr>
              <w:t xml:space="preserve">. Scritti in memoria di Maria Grazia </w:t>
            </w:r>
            <w:proofErr w:type="spellStart"/>
            <w:r w:rsidRPr="00A329DB">
              <w:rPr>
                <w:i/>
                <w:iCs/>
              </w:rPr>
              <w:t>Giuntella</w:t>
            </w:r>
            <w:proofErr w:type="spellEnd"/>
            <w:proofErr w:type="gramStart"/>
            <w:r w:rsidRPr="00B255CA">
              <w:t xml:space="preserve">  </w:t>
            </w:r>
            <w:proofErr w:type="gramEnd"/>
            <w:r w:rsidRPr="00B255CA">
              <w:t>(pp. 323-344). Roma: Aracne.</w:t>
            </w:r>
          </w:p>
        </w:tc>
      </w:tr>
      <w:tr w:rsidR="00866303" w:rsidRPr="005D03F3" w:rsidTr="00A2543E">
        <w:tc>
          <w:tcPr>
            <w:tcW w:w="9778" w:type="dxa"/>
          </w:tcPr>
          <w:p w:rsidR="00866303" w:rsidRPr="00866303" w:rsidRDefault="00866303" w:rsidP="005C4B95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866303">
              <w:rPr>
                <w:smallCaps/>
                <w:lang w:val="en-US"/>
              </w:rPr>
              <w:t>Federici, S., &amp; Borsci, S. (2010</w:t>
            </w:r>
            <w:r w:rsidRPr="00866303">
              <w:rPr>
                <w:lang w:val="en-US"/>
              </w:rPr>
              <w:t xml:space="preserve">). Usability evaluation: models, methods, and applications. In J. Stone &amp; M. </w:t>
            </w:r>
            <w:proofErr w:type="spellStart"/>
            <w:r w:rsidRPr="00866303">
              <w:rPr>
                <w:lang w:val="en-US"/>
              </w:rPr>
              <w:t>Blouin</w:t>
            </w:r>
            <w:proofErr w:type="spellEnd"/>
            <w:r w:rsidRPr="00866303">
              <w:rPr>
                <w:lang w:val="en-US"/>
              </w:rPr>
              <w:t xml:space="preserve"> (Eds.), </w:t>
            </w:r>
            <w:r w:rsidRPr="005C4B95">
              <w:rPr>
                <w:i/>
                <w:lang w:val="en-US"/>
              </w:rPr>
              <w:t>International Encyclopedia of Rehabilitation</w:t>
            </w:r>
            <w:r w:rsidRPr="00866303">
              <w:rPr>
                <w:lang w:val="en-US"/>
              </w:rPr>
              <w:t xml:space="preserve"> (pp. 1-17). Buffalo, NY, US: Center for International Rehabilitation Research Information and Exchange (</w:t>
            </w:r>
            <w:proofErr w:type="spellStart"/>
            <w:r w:rsidRPr="00866303">
              <w:rPr>
                <w:lang w:val="en-US"/>
              </w:rPr>
              <w:t>CIRRIE</w:t>
            </w:r>
            <w:proofErr w:type="spellEnd"/>
            <w:r w:rsidRPr="00866303">
              <w:rPr>
                <w:lang w:val="en-US"/>
              </w:rPr>
              <w:t xml:space="preserve">). Retrieved from </w:t>
            </w:r>
            <w:hyperlink r:id="rId13" w:history="1">
              <w:r w:rsidR="005C4B95" w:rsidRPr="00AB52E4">
                <w:rPr>
                  <w:rStyle w:val="Hyperlink"/>
                  <w:lang w:val="en-US"/>
                </w:rPr>
                <w:t>http://cirrie.buffalo.edu/encyclopedia/article.php?id=277&amp;language=en</w:t>
              </w:r>
            </w:hyperlink>
          </w:p>
        </w:tc>
      </w:tr>
      <w:tr w:rsidR="00866303" w:rsidRPr="00B255CA" w:rsidTr="00A2543E">
        <w:tc>
          <w:tcPr>
            <w:tcW w:w="9778" w:type="dxa"/>
          </w:tcPr>
          <w:p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</w:t>
            </w:r>
            <w:proofErr w:type="gramStart"/>
            <w:r w:rsidRPr="00866303">
              <w:rPr>
                <w:smallCaps/>
              </w:rPr>
              <w:t>J.</w:t>
            </w:r>
            <w:proofErr w:type="gramEnd"/>
            <w:r w:rsidRPr="00866303">
              <w:rPr>
                <w:smallCaps/>
              </w:rPr>
              <w:t xml:space="preserve">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proofErr w:type="gramStart"/>
            <w:r w:rsidRPr="00866303">
              <w:t>(</w:t>
            </w:r>
            <w:proofErr w:type="gramEnd"/>
            <w:r w:rsidRPr="00866303">
              <w:t xml:space="preserve">2), 203-208. </w:t>
            </w:r>
            <w:proofErr w:type="gramStart"/>
            <w:r w:rsidRPr="00866303">
              <w:t>doi</w:t>
            </w:r>
            <w:proofErr w:type="gramEnd"/>
            <w:r w:rsidRPr="00866303">
              <w:t>:10.1007/s10339-010-0374-8</w:t>
            </w:r>
          </w:p>
        </w:tc>
      </w:tr>
      <w:tr w:rsidR="00B763BD" w:rsidRPr="005D03F3" w:rsidTr="00A2543E">
        <w:tc>
          <w:tcPr>
            <w:tcW w:w="9778" w:type="dxa"/>
          </w:tcPr>
          <w:p w:rsidR="00B763BD" w:rsidRPr="00661111" w:rsidRDefault="00661111" w:rsidP="0066111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GB" w:eastAsia="en-US"/>
              </w:rPr>
            </w:pPr>
            <w:r>
              <w:rPr>
                <w:smallCaps/>
                <w:lang w:val="en-GB" w:eastAsia="en-US"/>
              </w:rPr>
              <w:t>Federici, S., &amp; Meloni, F.</w:t>
            </w:r>
            <w:r>
              <w:rPr>
                <w:lang w:val="en-GB" w:eastAsia="en-US"/>
              </w:rPr>
              <w:t xml:space="preserve"> (2009). Making Decisions and Judgments on Disability: The Disability Representation of Parents, Teachers, and Special Needs Educators. </w:t>
            </w:r>
            <w:r>
              <w:rPr>
                <w:i/>
                <w:iCs/>
                <w:lang w:val="en-GB" w:eastAsia="en-US"/>
              </w:rPr>
              <w:t>Journal of Education, Informatics and Cybernetics, 1</w:t>
            </w:r>
            <w:r>
              <w:rPr>
                <w:lang w:val="en-GB" w:eastAsia="en-US"/>
              </w:rPr>
              <w:t xml:space="preserve">(3), 20-26. </w:t>
            </w:r>
            <w:hyperlink r:id="rId14" w:history="1">
              <w:r>
                <w:rPr>
                  <w:rStyle w:val="Hyperlink"/>
                  <w:rFonts w:cs="Book Antiqua"/>
                  <w:lang w:val="en-GB" w:eastAsia="en-US"/>
                </w:rPr>
                <w:t>http://www.journaleic.com/article/view/3440/2491</w:t>
              </w:r>
            </w:hyperlink>
          </w:p>
        </w:tc>
      </w:tr>
      <w:tr w:rsidR="00661111" w:rsidRPr="00942B92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A329DB">
              <w:rPr>
                <w:i/>
                <w:iCs/>
              </w:rPr>
              <w:t>La mente inventata. Le basi biologiche dell’identità e della coscienza</w:t>
            </w:r>
            <w:r w:rsidRPr="0011407E">
              <w:t xml:space="preserve">. Milano: </w:t>
            </w:r>
            <w:proofErr w:type="spellStart"/>
            <w:r w:rsidRPr="0011407E">
              <w:t>Guerini</w:t>
            </w:r>
            <w:proofErr w:type="spellEnd"/>
            <w:r w:rsidRPr="0011407E">
              <w:t>.</w:t>
            </w:r>
          </w:p>
        </w:tc>
      </w:tr>
      <w:tr w:rsidR="00661111" w:rsidRPr="007452EF" w:rsidTr="00A2543E">
        <w:tc>
          <w:tcPr>
            <w:tcW w:w="9778" w:type="dxa"/>
          </w:tcPr>
          <w:p w:rsidR="00661111" w:rsidRPr="00A329D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A329DB">
              <w:rPr>
                <w:smallCaps/>
                <w:lang w:val="en-GB"/>
              </w:rPr>
              <w:t>Gazzaniga</w:t>
            </w:r>
            <w:r w:rsidRPr="00A329DB">
              <w:rPr>
                <w:lang w:val="en-GB"/>
              </w:rPr>
              <w:t xml:space="preserve">, M. S. (2002). The Split Brain Revisited. </w:t>
            </w:r>
            <w:r w:rsidRPr="00A329DB">
              <w:rPr>
                <w:i/>
                <w:iCs/>
                <w:lang w:val="en-GB"/>
              </w:rPr>
              <w:t>Scientific American Special Edition, 12</w:t>
            </w:r>
            <w:r w:rsidRPr="00A329DB">
              <w:rPr>
                <w:lang w:val="en-GB"/>
              </w:rPr>
              <w:t>(1), 27-31.</w:t>
            </w:r>
          </w:p>
        </w:tc>
      </w:tr>
      <w:tr w:rsidR="00661111" w:rsidRPr="007452EF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4D4396">
              <w:rPr>
                <w:smallCaps/>
              </w:rPr>
              <w:t>Gazzaniga</w:t>
            </w:r>
            <w:r>
              <w:t xml:space="preserve">, M. S. </w:t>
            </w:r>
            <w:r w:rsidRPr="00A329DB">
              <w:t xml:space="preserve">(2009). </w:t>
            </w:r>
            <w:r w:rsidRPr="00A329DB">
              <w:rPr>
                <w:i/>
                <w:iCs/>
              </w:rPr>
              <w:t>Human: Quel che ci rende unici</w:t>
            </w:r>
            <w:r w:rsidRPr="00A329DB">
              <w:t>. Roma: Raffaello Cortina.</w:t>
            </w:r>
          </w:p>
        </w:tc>
      </w:tr>
      <w:tr w:rsidR="00661111" w:rsidRPr="00866303" w:rsidTr="00A2543E">
        <w:tc>
          <w:tcPr>
            <w:tcW w:w="9778" w:type="dxa"/>
          </w:tcPr>
          <w:p w:rsidR="00661111" w:rsidRPr="00661111" w:rsidRDefault="00661111" w:rsidP="0066111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US" w:eastAsia="en-US"/>
              </w:rPr>
            </w:pPr>
            <w:r w:rsidRPr="00661111">
              <w:rPr>
                <w:smallCaps/>
                <w:lang w:eastAsia="en-US"/>
              </w:rPr>
              <w:t>Harris</w:t>
            </w:r>
            <w:r w:rsidRPr="00661111">
              <w:rPr>
                <w:lang w:eastAsia="en-US"/>
              </w:rPr>
              <w:t xml:space="preserve">, </w:t>
            </w:r>
            <w:proofErr w:type="gramStart"/>
            <w:r w:rsidRPr="00661111">
              <w:rPr>
                <w:lang w:eastAsia="en-US"/>
              </w:rPr>
              <w:t>J.</w:t>
            </w:r>
            <w:proofErr w:type="gramEnd"/>
            <w:r w:rsidRPr="00661111">
              <w:rPr>
                <w:lang w:eastAsia="en-US"/>
              </w:rPr>
              <w:t xml:space="preserve"> R. (1999). </w:t>
            </w:r>
            <w:r w:rsidRPr="00661111">
              <w:rPr>
                <w:i/>
                <w:iCs/>
                <w:lang w:eastAsia="en-US"/>
              </w:rPr>
              <w:t>Non è colpa dei genitori</w:t>
            </w:r>
            <w:r w:rsidRPr="00661111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 xml:space="preserve">Milano: </w:t>
            </w:r>
            <w:proofErr w:type="spellStart"/>
            <w:r>
              <w:rPr>
                <w:lang w:val="en-US" w:eastAsia="en-US"/>
              </w:rPr>
              <w:t>Mondadori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661111" w:rsidRPr="007452EF" w:rsidTr="00A2543E">
        <w:tc>
          <w:tcPr>
            <w:tcW w:w="9778" w:type="dxa"/>
          </w:tcPr>
          <w:p w:rsidR="00661111" w:rsidRPr="00661111" w:rsidRDefault="00661111" w:rsidP="0066111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val="en-US" w:eastAsia="en-US"/>
              </w:rPr>
            </w:pPr>
            <w:r w:rsidRPr="000D1BDB">
              <w:rPr>
                <w:smallCaps/>
                <w:szCs w:val="28"/>
                <w:lang w:eastAsia="en-US"/>
              </w:rPr>
              <w:t>Meloni, F., Federici, S., &amp; Stella, A.</w:t>
            </w:r>
            <w:r w:rsidRPr="00661111">
              <w:rPr>
                <w:szCs w:val="28"/>
                <w:lang w:eastAsia="en-US"/>
              </w:rPr>
              <w:t xml:space="preserve"> (2011). </w:t>
            </w:r>
            <w:r>
              <w:rPr>
                <w:szCs w:val="28"/>
                <w:lang w:val="en-US" w:eastAsia="en-US"/>
              </w:rPr>
              <w:t xml:space="preserve">The Psychologist’s Role: A Neglected Presence in the Assistive Technology Assessment Process. In G. J. Gelderblom, M. </w:t>
            </w:r>
            <w:proofErr w:type="spellStart"/>
            <w:r>
              <w:rPr>
                <w:szCs w:val="28"/>
                <w:lang w:val="en-US" w:eastAsia="en-US"/>
              </w:rPr>
              <w:t>Soede</w:t>
            </w:r>
            <w:proofErr w:type="spellEnd"/>
            <w:r>
              <w:rPr>
                <w:szCs w:val="28"/>
                <w:lang w:val="en-US" w:eastAsia="en-US"/>
              </w:rPr>
              <w:t xml:space="preserve">, L. </w:t>
            </w:r>
            <w:proofErr w:type="spellStart"/>
            <w:r>
              <w:rPr>
                <w:szCs w:val="28"/>
                <w:lang w:val="en-US" w:eastAsia="en-US"/>
              </w:rPr>
              <w:t>Adriaens</w:t>
            </w:r>
            <w:proofErr w:type="spellEnd"/>
            <w:r>
              <w:rPr>
                <w:szCs w:val="28"/>
                <w:lang w:val="en-US" w:eastAsia="en-US"/>
              </w:rPr>
              <w:t xml:space="preserve"> &amp; K. Miesenberger (Eds.), </w:t>
            </w:r>
            <w:r>
              <w:rPr>
                <w:i/>
                <w:iCs/>
                <w:szCs w:val="28"/>
                <w:lang w:val="en-US" w:eastAsia="en-US"/>
              </w:rPr>
              <w:t>Everyday Technology for Independence and Care: AAATE 2011</w:t>
            </w:r>
            <w:r>
              <w:rPr>
                <w:szCs w:val="28"/>
                <w:lang w:val="en-US" w:eastAsia="en-US"/>
              </w:rPr>
              <w:t xml:space="preserve"> (Vol. 29, pp. 1199-1206). Amsterdam, NL: </w:t>
            </w:r>
            <w:proofErr w:type="spellStart"/>
            <w:r>
              <w:rPr>
                <w:szCs w:val="28"/>
                <w:lang w:val="en-US" w:eastAsia="en-US"/>
              </w:rPr>
              <w:t>IOS</w:t>
            </w:r>
            <w:proofErr w:type="spellEnd"/>
            <w:r>
              <w:rPr>
                <w:szCs w:val="28"/>
                <w:lang w:val="en-US" w:eastAsia="en-US"/>
              </w:rPr>
              <w:t xml:space="preserve"> Press. doi:10.3233/978-1-60750-814-4-1199</w:t>
            </w:r>
          </w:p>
        </w:tc>
      </w:tr>
      <w:tr w:rsidR="000D1BDB" w:rsidRPr="000D1BDB" w:rsidTr="00A2543E">
        <w:tc>
          <w:tcPr>
            <w:tcW w:w="9778" w:type="dxa"/>
          </w:tcPr>
          <w:p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proofErr w:type="spellStart"/>
            <w:r w:rsidRPr="000D1BDB">
              <w:rPr>
                <w:smallCaps/>
                <w:szCs w:val="28"/>
                <w:lang w:val="en-US" w:eastAsia="en-US"/>
              </w:rPr>
              <w:lastRenderedPageBreak/>
              <w:t>Holyoak</w:t>
            </w:r>
            <w:proofErr w:type="spellEnd"/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</w:t>
            </w:r>
            <w:proofErr w:type="spellStart"/>
            <w:r w:rsidRPr="000D1BDB">
              <w:rPr>
                <w:szCs w:val="28"/>
                <w:lang w:val="en-US" w:eastAsia="en-US"/>
              </w:rPr>
              <w:t>Keil</w:t>
            </w:r>
            <w:proofErr w:type="spellEnd"/>
            <w:r w:rsidRPr="000D1BDB">
              <w:rPr>
                <w:szCs w:val="28"/>
                <w:lang w:val="en-US" w:eastAsia="en-US"/>
              </w:rPr>
              <w:t xml:space="preserve">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:rsidTr="00A2543E">
        <w:tc>
          <w:tcPr>
            <w:tcW w:w="9778" w:type="dxa"/>
          </w:tcPr>
          <w:p w:rsidR="00661111" w:rsidRPr="00661111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661111">
              <w:rPr>
                <w:smallCaps/>
              </w:rPr>
              <w:t xml:space="preserve">Kandel, </w:t>
            </w:r>
            <w:proofErr w:type="gramStart"/>
            <w:r w:rsidRPr="00661111">
              <w:rPr>
                <w:smallCaps/>
              </w:rPr>
              <w:t>E.</w:t>
            </w:r>
            <w:proofErr w:type="gramEnd"/>
            <w:r w:rsidRPr="00661111">
              <w:rPr>
                <w:smallCaps/>
              </w:rPr>
              <w:t xml:space="preserve"> R. (2003). </w:t>
            </w:r>
            <w:r w:rsidRPr="00661111">
              <w:t xml:space="preserve">Cervello e comportamento. In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Kandel, J. H. </w:t>
            </w:r>
            <w:proofErr w:type="spellStart"/>
            <w:r w:rsidRPr="00661111">
              <w:t>Schwartz</w:t>
            </w:r>
            <w:proofErr w:type="spellEnd"/>
            <w:r w:rsidRPr="00661111">
              <w:t xml:space="preserve">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5-19). Milano: </w:t>
            </w:r>
            <w:proofErr w:type="spellStart"/>
            <w:r w:rsidRPr="00661111">
              <w:t>CEA</w:t>
            </w:r>
            <w:proofErr w:type="spellEnd"/>
          </w:p>
        </w:tc>
      </w:tr>
      <w:tr w:rsidR="00661111" w:rsidRPr="00942B92" w:rsidTr="00A2543E">
        <w:tc>
          <w:tcPr>
            <w:tcW w:w="9778" w:type="dxa"/>
          </w:tcPr>
          <w:p w:rsidR="00661111" w:rsidRPr="007452EF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661111">
              <w:t>K</w:t>
            </w:r>
            <w:r w:rsidRPr="000D1BDB">
              <w:rPr>
                <w:smallCaps/>
              </w:rPr>
              <w:t>andel</w:t>
            </w:r>
            <w:r w:rsidRPr="00661111">
              <w:t xml:space="preserve">,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</w:t>
            </w:r>
            <w:proofErr w:type="gramStart"/>
            <w:r w:rsidRPr="00661111">
              <w:t>cellulare necessaria</w:t>
            </w:r>
            <w:proofErr w:type="gramEnd"/>
            <w:r w:rsidRPr="00661111">
              <w:t xml:space="preserve"> per la percezione e per l’azione. In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Kandel, J. H. </w:t>
            </w:r>
            <w:proofErr w:type="spellStart"/>
            <w:r w:rsidRPr="00661111">
              <w:t>Schwartz</w:t>
            </w:r>
            <w:proofErr w:type="spellEnd"/>
            <w:r w:rsidRPr="00661111">
              <w:t xml:space="preserve">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377-399). Milano: </w:t>
            </w:r>
            <w:proofErr w:type="spellStart"/>
            <w:r w:rsidRPr="00661111">
              <w:t>CEA</w:t>
            </w:r>
            <w:proofErr w:type="spellEnd"/>
          </w:p>
        </w:tc>
      </w:tr>
      <w:tr w:rsidR="00661111" w:rsidRPr="00942B92" w:rsidTr="00A2543E">
        <w:tc>
          <w:tcPr>
            <w:tcW w:w="9778" w:type="dxa"/>
          </w:tcPr>
          <w:p w:rsidR="00661111" w:rsidRPr="007452EF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Newberg, A. B., d’</w:t>
            </w:r>
            <w:proofErr w:type="spellStart"/>
            <w:r w:rsidRPr="00A329DB">
              <w:rPr>
                <w:smallCaps/>
              </w:rPr>
              <w:t>Aquili</w:t>
            </w:r>
            <w:proofErr w:type="spellEnd"/>
            <w:r w:rsidRPr="00A329DB">
              <w:rPr>
                <w:smallCaps/>
              </w:rPr>
              <w:t xml:space="preserve">, </w:t>
            </w:r>
            <w:proofErr w:type="gramStart"/>
            <w:r w:rsidRPr="00A329DB">
              <w:rPr>
                <w:smallCaps/>
              </w:rPr>
              <w:t>E.</w:t>
            </w:r>
            <w:proofErr w:type="gramEnd"/>
            <w:r w:rsidRPr="00A329DB">
              <w:rPr>
                <w:smallCaps/>
              </w:rPr>
              <w:t xml:space="preserve"> G., &amp; </w:t>
            </w:r>
            <w:proofErr w:type="spellStart"/>
            <w:r w:rsidRPr="00A329DB">
              <w:rPr>
                <w:smallCaps/>
              </w:rPr>
              <w:t>Rause</w:t>
            </w:r>
            <w:proofErr w:type="spellEnd"/>
            <w:r w:rsidRPr="00A329DB">
              <w:rPr>
                <w:smallCaps/>
              </w:rPr>
              <w:t>,</w:t>
            </w:r>
            <w:r>
              <w:t xml:space="preserve"> V. </w:t>
            </w:r>
            <w:r w:rsidRPr="007452EF">
              <w:t xml:space="preserve">(2001). </w:t>
            </w:r>
            <w:r w:rsidRPr="00A329DB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Pinker</w:t>
            </w:r>
            <w:r w:rsidRPr="0011407E">
              <w:t xml:space="preserve">, S. (2006). </w:t>
            </w:r>
            <w:r w:rsidRPr="00A329DB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Plotkin</w:t>
            </w:r>
            <w:r w:rsidRPr="0011407E">
              <w:t xml:space="preserve">, </w:t>
            </w:r>
            <w:proofErr w:type="gramStart"/>
            <w:r w:rsidRPr="0011407E">
              <w:t>H.</w:t>
            </w:r>
            <w:proofErr w:type="gramEnd"/>
            <w:r w:rsidRPr="0011407E">
              <w:t xml:space="preserve"> (2002). </w:t>
            </w:r>
            <w:r w:rsidRPr="00A329DB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  <w:tr w:rsidR="00661111" w:rsidRPr="005D03F3" w:rsidTr="00A2543E">
        <w:tc>
          <w:tcPr>
            <w:tcW w:w="9778" w:type="dxa"/>
          </w:tcPr>
          <w:p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61111">
              <w:rPr>
                <w:smallCaps/>
                <w:lang w:val="en-US"/>
              </w:rPr>
              <w:t xml:space="preserve">Premack, D. (2007). </w:t>
            </w:r>
            <w:r w:rsidRPr="00661111">
              <w:rPr>
                <w:lang w:val="en-US"/>
              </w:rPr>
              <w:t xml:space="preserve">Human and animal cognition: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Pr="00B2784F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Ramachandran</w:t>
            </w:r>
            <w:r w:rsidRPr="001D67C4">
              <w:t xml:space="preserve">, V. S. (2006). </w:t>
            </w:r>
            <w:r w:rsidRPr="00A329DB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Pr="00B2784F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  <w:lang w:val="en-US"/>
              </w:rPr>
              <w:t>Ramachandran, V. S., &amp; Blakeslee, S.</w:t>
            </w:r>
            <w:r w:rsidRPr="00A329DB">
              <w:rPr>
                <w:lang w:val="en-US"/>
              </w:rPr>
              <w:t xml:space="preserve"> (2003). </w:t>
            </w:r>
            <w:r w:rsidRPr="00A329DB">
              <w:rPr>
                <w:i/>
              </w:rPr>
              <w:t>La donna che morì dal ridere e altre storie incredibili sui misteri della mente umana</w:t>
            </w:r>
            <w:r w:rsidRPr="001D67C4">
              <w:t>. Milano: Mondadori.</w:t>
            </w:r>
          </w:p>
        </w:tc>
      </w:tr>
    </w:tbl>
    <w:p w:rsidR="00ED63EF" w:rsidRDefault="00ED63EF" w:rsidP="004D4396">
      <w:pPr>
        <w:rPr>
          <w:sz w:val="24"/>
        </w:rPr>
      </w:pPr>
    </w:p>
    <w:p w:rsidR="00ED63EF" w:rsidRDefault="00ED63EF">
      <w:pPr>
        <w:rPr>
          <w:sz w:val="24"/>
        </w:rPr>
      </w:pPr>
      <w:r>
        <w:rPr>
          <w:sz w:val="24"/>
        </w:rPr>
        <w:br w:type="page"/>
      </w:r>
    </w:p>
    <w:p w:rsidR="00ED63EF" w:rsidRDefault="00ED63EF" w:rsidP="00ED63EF">
      <w:pPr>
        <w:pStyle w:val="Title"/>
      </w:pPr>
      <w:r w:rsidRPr="00942B92">
        <w:lastRenderedPageBreak/>
        <w:t>SCHEDA PER L’ILLUSTRAZIONE DEL PERCORSO DIDATTICO DISCIPLINARE</w:t>
      </w:r>
    </w:p>
    <w:p w:rsidR="00ED63EF" w:rsidRPr="00942B92" w:rsidRDefault="00ED63EF" w:rsidP="00ED63EF">
      <w:pPr>
        <w:pStyle w:val="Title"/>
      </w:pPr>
      <w:r>
        <w:t>2011-2012</w:t>
      </w:r>
    </w:p>
    <w:p w:rsidR="00ED63EF" w:rsidRPr="00466B26" w:rsidRDefault="00ED63EF" w:rsidP="00ED63EF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Psicologia generale</w:t>
      </w:r>
    </w:p>
    <w:p w:rsidR="00ED63EF" w:rsidRPr="00942B92" w:rsidRDefault="00ED63EF" w:rsidP="00ED63E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  <w:rPr>
                <w:b/>
                <w:bCs/>
                <w:sz w:val="24"/>
                <w:u w:val="single"/>
              </w:rPr>
            </w:pPr>
            <w:r w:rsidRPr="00ED63EF">
              <w:rPr>
                <w:b/>
                <w:bCs/>
                <w:i/>
                <w:iCs/>
                <w:sz w:val="24"/>
                <w:u w:val="single"/>
              </w:rPr>
              <w:t>Laurea triennale</w:t>
            </w:r>
            <w:r w:rsidRPr="00ED63EF">
              <w:rPr>
                <w:b/>
                <w:bCs/>
                <w:sz w:val="24"/>
                <w:u w:val="single"/>
              </w:rPr>
              <w:t xml:space="preserve"> - L031 </w:t>
            </w:r>
            <w:r w:rsidR="00BA67B3">
              <w:rPr>
                <w:b/>
                <w:bCs/>
                <w:sz w:val="24"/>
                <w:u w:val="single"/>
              </w:rPr>
              <w:t>–</w:t>
            </w:r>
            <w:r w:rsidRPr="00ED63EF">
              <w:rPr>
                <w:b/>
                <w:bCs/>
                <w:sz w:val="24"/>
                <w:u w:val="single"/>
              </w:rPr>
              <w:t xml:space="preserve"> FILOSOFIA</w:t>
            </w:r>
          </w:p>
          <w:p w:rsidR="00BA67B3" w:rsidRPr="00BA67B3" w:rsidRDefault="00BA67B3" w:rsidP="005438AB">
            <w:pPr>
              <w:jc w:val="both"/>
              <w:rPr>
                <w:b/>
                <w:sz w:val="24"/>
              </w:rPr>
            </w:pPr>
            <w:r w:rsidRPr="00BA67B3">
              <w:rPr>
                <w:b/>
                <w:bCs/>
                <w:sz w:val="24"/>
              </w:rPr>
              <w:t>MUTUATO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ED63EF" w:rsidRPr="00942B92" w:rsidRDefault="00ED63EF" w:rsidP="005438AB">
            <w:pPr>
              <w:jc w:val="both"/>
              <w:rPr>
                <w:sz w:val="24"/>
              </w:rPr>
            </w:pP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ED63EF" w:rsidRPr="00942B92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ED63EF" w:rsidRDefault="00ED63EF" w:rsidP="00ED63EF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 w:rsidRPr="008E1EC0">
              <w:rPr>
                <w:bCs/>
                <w:iCs/>
              </w:rPr>
              <w:t xml:space="preserve"> </w:t>
            </w:r>
            <w:r w:rsidRPr="002D6B2C">
              <w:rPr>
                <w:bCs/>
                <w:iCs/>
                <w:sz w:val="16"/>
              </w:rPr>
              <w:t xml:space="preserve">(18 ore, </w:t>
            </w:r>
            <w:r>
              <w:rPr>
                <w:bCs/>
                <w:iCs/>
                <w:sz w:val="16"/>
              </w:rPr>
              <w:t>dal 26/09/11 al 12/10/11</w:t>
            </w:r>
            <w:r w:rsidRPr="002D6B2C">
              <w:rPr>
                <w:bCs/>
                <w:iCs/>
                <w:sz w:val="16"/>
              </w:rPr>
              <w:t>)</w:t>
            </w:r>
            <w:r>
              <w:rPr>
                <w:bCs/>
                <w:iCs/>
              </w:rPr>
              <w:t xml:space="preserve">: Il problema </w:t>
            </w:r>
            <w:proofErr w:type="gramStart"/>
            <w:r>
              <w:rPr>
                <w:bCs/>
                <w:iCs/>
              </w:rPr>
              <w:t>di fondo</w:t>
            </w:r>
            <w:proofErr w:type="gramEnd"/>
            <w:r>
              <w:rPr>
                <w:bCs/>
                <w:iCs/>
              </w:rPr>
              <w:t xml:space="preserve"> della psicologia. Di che cosa si occupa la psicologia. Elementi di storia della psicologia moderna. La psicologia come scienza. </w:t>
            </w:r>
            <w:proofErr w:type="gramStart"/>
            <w:r>
              <w:rPr>
                <w:bCs/>
                <w:iCs/>
              </w:rPr>
              <w:t>[Vedi</w:t>
            </w:r>
            <w:proofErr w:type="gramEnd"/>
            <w:r>
              <w:rPr>
                <w:bCs/>
                <w:iCs/>
              </w:rPr>
              <w:t xml:space="preserve">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1, 2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13, 14 e 19]</w:t>
            </w:r>
          </w:p>
          <w:p w:rsidR="00ED63EF" w:rsidRPr="00ED63EF" w:rsidRDefault="00ED63EF" w:rsidP="00ED63EF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48651B">
              <w:rPr>
                <w:bCs/>
                <w:i/>
                <w:iCs/>
              </w:rPr>
              <w:t>Introduzione alla psicologia evoluzionistica</w:t>
            </w:r>
            <w:r w:rsidRPr="0048651B">
              <w:rPr>
                <w:bCs/>
                <w:iCs/>
              </w:rPr>
              <w:t xml:space="preserve"> </w:t>
            </w:r>
            <w:r w:rsidRPr="0048651B">
              <w:rPr>
                <w:bCs/>
                <w:iCs/>
                <w:sz w:val="16"/>
              </w:rPr>
              <w:t>(</w:t>
            </w:r>
            <w:r>
              <w:rPr>
                <w:bCs/>
                <w:iCs/>
                <w:sz w:val="16"/>
              </w:rPr>
              <w:t>14</w:t>
            </w:r>
            <w:r w:rsidRPr="0048651B">
              <w:rPr>
                <w:bCs/>
                <w:iCs/>
                <w:sz w:val="16"/>
              </w:rPr>
              <w:t xml:space="preserve"> ore; </w:t>
            </w:r>
            <w:r>
              <w:rPr>
                <w:bCs/>
                <w:iCs/>
                <w:sz w:val="16"/>
              </w:rPr>
              <w:t>dal 17/10/11 al 31/10/11</w:t>
            </w:r>
            <w:r w:rsidRPr="0048651B">
              <w:rPr>
                <w:bCs/>
                <w:iCs/>
                <w:sz w:val="16"/>
              </w:rPr>
              <w:t>)</w:t>
            </w:r>
            <w:r w:rsidRPr="0048651B">
              <w:rPr>
                <w:bCs/>
                <w:iCs/>
              </w:rPr>
              <w:t>: come funziona la mente; evidenze di meccanismi innati e specifici di conoscenza; l’evoluzione della mente;</w:t>
            </w:r>
            <w:r>
              <w:rPr>
                <w:bCs/>
                <w:iCs/>
              </w:rPr>
              <w:t xml:space="preserve"> l</w:t>
            </w:r>
            <w:r w:rsidRPr="0048651B">
              <w:rPr>
                <w:bCs/>
                <w:iCs/>
              </w:rPr>
              <w:t xml:space="preserve">a cultura e la </w:t>
            </w:r>
            <w:proofErr w:type="gramStart"/>
            <w:r w:rsidRPr="0048651B">
              <w:rPr>
                <w:bCs/>
                <w:iCs/>
              </w:rPr>
              <w:t>mente</w:t>
            </w:r>
            <w:proofErr w:type="gramEnd"/>
            <w:r w:rsidRPr="0048651B">
              <w:rPr>
                <w:bCs/>
                <w:iCs/>
              </w:rPr>
              <w:t xml:space="preserve"> innata</w:t>
            </w:r>
            <w:r>
              <w:rPr>
                <w:bCs/>
                <w:iCs/>
              </w:rPr>
              <w:t>;</w:t>
            </w:r>
            <w:r w:rsidRPr="0048651B">
              <w:rPr>
                <w:bCs/>
                <w:iCs/>
              </w:rPr>
              <w:t xml:space="preserve"> Chomsky e la povertà dello stimolo; la mente modulare. </w:t>
            </w:r>
            <w:proofErr w:type="gramStart"/>
            <w:r w:rsidRPr="0048651B">
              <w:rPr>
                <w:bCs/>
                <w:iCs/>
              </w:rPr>
              <w:t>[Vedi</w:t>
            </w:r>
            <w:proofErr w:type="gramEnd"/>
            <w:r w:rsidRPr="0048651B">
              <w:rPr>
                <w:bCs/>
                <w:iCs/>
              </w:rPr>
              <w:t xml:space="preserve"> </w:t>
            </w:r>
            <w:r w:rsidRPr="0048651B">
              <w:rPr>
                <w:bCs/>
                <w:i/>
                <w:iCs/>
              </w:rPr>
              <w:t>testi obbligatori</w:t>
            </w:r>
            <w:r w:rsidRPr="0048651B">
              <w:rPr>
                <w:bCs/>
                <w:iCs/>
              </w:rPr>
              <w:t xml:space="preserve">: 3 e 4; </w:t>
            </w:r>
            <w:r w:rsidRPr="0048651B">
              <w:rPr>
                <w:bCs/>
                <w:i/>
                <w:iCs/>
              </w:rPr>
              <w:t>consigliati</w:t>
            </w:r>
            <w:r w:rsidRPr="0048651B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1, 2, 3, 9</w:t>
            </w:r>
            <w:r w:rsidRPr="0048651B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11, 12, 17-</w:t>
            </w:r>
            <w:r w:rsidRPr="0048651B">
              <w:rPr>
                <w:bCs/>
                <w:iCs/>
              </w:rPr>
              <w:t>1</w:t>
            </w:r>
            <w:r>
              <w:rPr>
                <w:bCs/>
                <w:iCs/>
              </w:rPr>
              <w:t>9</w:t>
            </w:r>
            <w:r w:rsidRPr="0048651B">
              <w:rPr>
                <w:bCs/>
                <w:iCs/>
              </w:rPr>
              <w:t>]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Seminari teorico-pratici</w:t>
            </w:r>
          </w:p>
        </w:tc>
        <w:tc>
          <w:tcPr>
            <w:tcW w:w="7440" w:type="dxa"/>
          </w:tcPr>
          <w:p w:rsidR="00ED63EF" w:rsidRPr="00D12359" w:rsidRDefault="00ED63EF" w:rsidP="005438AB">
            <w:p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701CB3">
              <w:rPr>
                <w:b/>
                <w:bCs/>
                <w:iCs/>
              </w:rPr>
              <w:t>Seminari obbligatori</w:t>
            </w:r>
            <w:r>
              <w:rPr>
                <w:b/>
                <w:bCs/>
                <w:iCs/>
              </w:rPr>
              <w:t xml:space="preserve">: </w:t>
            </w:r>
            <w:r>
              <w:rPr>
                <w:bCs/>
                <w:iCs/>
              </w:rPr>
              <w:t xml:space="preserve">Sono parte integrante della frequenza al corso. Ai partecipanti che ne faranno </w:t>
            </w:r>
            <w:proofErr w:type="gramStart"/>
            <w:r>
              <w:rPr>
                <w:bCs/>
                <w:iCs/>
              </w:rPr>
              <w:t>richiesta</w:t>
            </w:r>
            <w:proofErr w:type="gramEnd"/>
            <w:r>
              <w:rPr>
                <w:bCs/>
                <w:iCs/>
              </w:rPr>
              <w:t xml:space="preserve"> sarà rilasciato un attestato di partecipazione con la dicitura dell’attività svolta. L’attestato potrà essere presentato nella domanda di tirocinio e valere come ore già svolte previo accordo con il tutor.</w:t>
            </w:r>
          </w:p>
          <w:p w:rsidR="00ED63EF" w:rsidRDefault="00ED63EF" w:rsidP="00ED63EF">
            <w:pPr>
              <w:numPr>
                <w:ilvl w:val="0"/>
                <w:numId w:val="13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proofErr w:type="gramStart"/>
            <w:r w:rsidRPr="00D06C91">
              <w:rPr>
                <w:bCs/>
                <w:i/>
                <w:iCs/>
              </w:rPr>
              <w:t>Le emozioni</w:t>
            </w:r>
            <w:r w:rsidRPr="00D06C91">
              <w:rPr>
                <w:i/>
              </w:rPr>
              <w:t>: dal corpo alla mente, la semantica dei processi psico-motori</w:t>
            </w:r>
            <w:r w:rsidRPr="008E1EC0">
              <w:rPr>
                <w:bCs/>
                <w:iCs/>
              </w:rPr>
              <w:t xml:space="preserve"> </w:t>
            </w:r>
            <w:r w:rsidRPr="002D6B2C">
              <w:rPr>
                <w:bCs/>
                <w:iCs/>
                <w:sz w:val="16"/>
              </w:rPr>
              <w:t>(</w:t>
            </w:r>
            <w:r>
              <w:rPr>
                <w:bCs/>
                <w:iCs/>
                <w:sz w:val="16"/>
              </w:rPr>
              <w:t>4</w:t>
            </w:r>
            <w:r w:rsidRPr="002D6B2C">
              <w:rPr>
                <w:bCs/>
                <w:iCs/>
                <w:sz w:val="16"/>
              </w:rPr>
              <w:t xml:space="preserve"> ore, </w:t>
            </w:r>
            <w:r>
              <w:rPr>
                <w:bCs/>
                <w:iCs/>
                <w:sz w:val="16"/>
              </w:rPr>
              <w:t>9/11/11</w:t>
            </w:r>
            <w:r w:rsidRPr="002D6B2C">
              <w:rPr>
                <w:bCs/>
                <w:iCs/>
                <w:sz w:val="16"/>
              </w:rPr>
              <w:t>)</w:t>
            </w:r>
            <w:r>
              <w:rPr>
                <w:bCs/>
                <w:iCs/>
              </w:rPr>
              <w:t xml:space="preserve">: </w:t>
            </w:r>
            <w:r w:rsidRPr="000B4FF3">
              <w:rPr>
                <w:bCs/>
                <w:iCs/>
              </w:rPr>
              <w:t>Dal mio corpo al tuo: il sesso e l’affetto</w:t>
            </w:r>
            <w:r>
              <w:rPr>
                <w:bCs/>
                <w:iCs/>
              </w:rPr>
              <w:t xml:space="preserve">: </w:t>
            </w:r>
            <w:r w:rsidRPr="000B4FF3">
              <w:rPr>
                <w:bCs/>
                <w:iCs/>
              </w:rPr>
              <w:t>Attraverso l’uso di tecniche espressive del vissuto corporeo ed emozionale si affronteranno aspetti della rappresentazione e dei significati personali e sociali del corpo e del sesso in attività di gruppo</w:t>
            </w:r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[Vedi</w:t>
            </w:r>
            <w:proofErr w:type="gramEnd"/>
            <w:r>
              <w:rPr>
                <w:bCs/>
                <w:iCs/>
              </w:rPr>
              <w:t xml:space="preserve">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4]</w:t>
            </w:r>
          </w:p>
          <w:p w:rsidR="00ED63EF" w:rsidRPr="00701CB3" w:rsidRDefault="00ED63EF" w:rsidP="00ED63EF">
            <w:pPr>
              <w:pStyle w:val="ListParagraph"/>
              <w:numPr>
                <w:ilvl w:val="0"/>
                <w:numId w:val="13"/>
              </w:numPr>
              <w:jc w:val="both"/>
            </w:pPr>
            <w:proofErr w:type="gramStart"/>
            <w:r w:rsidRPr="00C47C03">
              <w:rPr>
                <w:i/>
              </w:rPr>
              <w:t xml:space="preserve">Disturbi specifici dell’apprendimento </w:t>
            </w:r>
            <w:r w:rsidRPr="00C47C03">
              <w:rPr>
                <w:bCs/>
                <w:iCs/>
                <w:sz w:val="16"/>
              </w:rPr>
              <w:t xml:space="preserve">(4 ore, </w:t>
            </w:r>
            <w:r>
              <w:rPr>
                <w:bCs/>
                <w:iCs/>
                <w:sz w:val="16"/>
              </w:rPr>
              <w:t>7</w:t>
            </w:r>
            <w:r w:rsidRPr="00C47C03">
              <w:rPr>
                <w:bCs/>
                <w:iCs/>
                <w:sz w:val="16"/>
              </w:rPr>
              <w:t>/1</w:t>
            </w:r>
            <w:r>
              <w:rPr>
                <w:bCs/>
                <w:iCs/>
                <w:sz w:val="16"/>
              </w:rPr>
              <w:t>2</w:t>
            </w:r>
            <w:r w:rsidRPr="00C47C03">
              <w:rPr>
                <w:bCs/>
                <w:iCs/>
                <w:sz w:val="16"/>
              </w:rPr>
              <w:t>/11)</w:t>
            </w:r>
            <w:r>
              <w:t xml:space="preserve">: </w:t>
            </w:r>
            <w:r w:rsidRPr="00C47C03">
              <w:t>Dislessia, disgr</w:t>
            </w:r>
            <w:r>
              <w:t>afia, disortografia, discalculia</w:t>
            </w:r>
            <w:proofErr w:type="gramEnd"/>
            <w:r>
              <w:t xml:space="preserve">. Parteciperanno </w:t>
            </w:r>
            <w:proofErr w:type="gramStart"/>
            <w:r>
              <w:t>al Seminario esperti</w:t>
            </w:r>
            <w:proofErr w:type="gramEnd"/>
            <w:r>
              <w:t xml:space="preserve"> del Centro Specialistico per la Dislessia, le Difficoltà di Apprendimento e di Linguaggio – F.A.R.E. di Perugia. </w:t>
            </w:r>
            <w:proofErr w:type="gramStart"/>
            <w:r>
              <w:rPr>
                <w:bCs/>
                <w:iCs/>
              </w:rPr>
              <w:t>[Vedi</w:t>
            </w:r>
            <w:proofErr w:type="gramEnd"/>
            <w:r>
              <w:rPr>
                <w:bCs/>
                <w:iCs/>
              </w:rPr>
              <w:t xml:space="preserve">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6, 13, 18, 22]</w:t>
            </w:r>
          </w:p>
          <w:p w:rsidR="00ED63EF" w:rsidRPr="00C47C03" w:rsidRDefault="00ED63EF" w:rsidP="005438AB">
            <w:pPr>
              <w:jc w:val="both"/>
            </w:pPr>
            <w:r w:rsidRPr="00701CB3">
              <w:rPr>
                <w:b/>
                <w:bCs/>
                <w:iCs/>
              </w:rPr>
              <w:t xml:space="preserve">Seminari </w:t>
            </w:r>
            <w:r>
              <w:rPr>
                <w:b/>
                <w:bCs/>
                <w:iCs/>
              </w:rPr>
              <w:t xml:space="preserve">facoltativi: </w:t>
            </w:r>
            <w:r>
              <w:rPr>
                <w:bCs/>
                <w:iCs/>
              </w:rPr>
              <w:t xml:space="preserve">Non sono obbligatori e non </w:t>
            </w:r>
            <w:proofErr w:type="gramStart"/>
            <w:r>
              <w:rPr>
                <w:bCs/>
                <w:iCs/>
              </w:rPr>
              <w:t>viene</w:t>
            </w:r>
            <w:proofErr w:type="gramEnd"/>
            <w:r>
              <w:rPr>
                <w:bCs/>
                <w:iCs/>
              </w:rPr>
              <w:t xml:space="preserve"> quindi raccolta la firma di frequenza. Sono a numero chiuso (max 30) e vi potranno partecipare solo coloro che si saranno prenotati. Sono destinati alla lettura dei testi d’esame. Si svolgeranno tra il 9 e il 20 gennaio 2012. Calendario degli incontri, tematiche e iscrizioni dei seminari di lettura verranno pubblicati sul sito web </w:t>
            </w:r>
            <w:hyperlink r:id="rId15" w:history="1">
              <w:r w:rsidRPr="002B5491">
                <w:rPr>
                  <w:rStyle w:val="Hyperlink"/>
                  <w:bCs/>
                  <w:iCs/>
                </w:rPr>
                <w:t>www.cognitivelab.it</w:t>
              </w:r>
            </w:hyperlink>
            <w:r>
              <w:rPr>
                <w:bCs/>
                <w:iCs/>
              </w:rPr>
              <w:t>.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</w:pPr>
            <w:r>
              <w:t xml:space="preserve">Durante lo svolgimento del corso </w:t>
            </w:r>
            <w:proofErr w:type="gramStart"/>
            <w:r>
              <w:t>verranno</w:t>
            </w:r>
            <w:proofErr w:type="gramEnd"/>
            <w:r>
              <w:t xml:space="preserve"> effettuati degli esprimenti scientifici condotti da ricercatori, dottorandi o laureandi che richiederanno la partecipazione volontaria degli studenti del corso. La partecipazione alle sperimentazioni darà diritto </w:t>
            </w:r>
            <w:proofErr w:type="gramStart"/>
            <w:r>
              <w:t>ad</w:t>
            </w:r>
            <w:proofErr w:type="gramEnd"/>
            <w:r>
              <w:t xml:space="preserve"> un numero di crediti pari al tempo della durata delle sperimentazioni a cui si avrà partecipato cumulabili con il punteggio ottenuto alla prova scritta d’esame.</w:t>
            </w:r>
          </w:p>
          <w:p w:rsidR="00ED63EF" w:rsidRPr="00C47C03" w:rsidRDefault="00ED63EF" w:rsidP="005438AB">
            <w:pPr>
              <w:jc w:val="both"/>
            </w:pPr>
            <w:r>
              <w:t xml:space="preserve">Date e temi delle sperimentazione verranno di volta in volta comunicati sul sito web </w:t>
            </w:r>
            <w:hyperlink r:id="rId16" w:history="1">
              <w:r w:rsidRPr="00D56148">
                <w:rPr>
                  <w:rStyle w:val="Hyperlink"/>
                </w:rPr>
                <w:t>www.cognitivelab.it</w:t>
              </w:r>
            </w:hyperlink>
            <w:r>
              <w:t xml:space="preserve"> 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Tr="005438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F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F" w:rsidRPr="005A596C" w:rsidRDefault="00ED63EF" w:rsidP="005438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 Laboratori di lettura e approfondimento dei testi d’esame (Gennaio 2012).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proofErr w:type="gramStart"/>
            <w:r w:rsidRPr="00942B92">
              <w:rPr>
                <w:b/>
                <w:bCs/>
                <w:sz w:val="24"/>
              </w:rPr>
              <w:t>Modalità</w:t>
            </w:r>
            <w:proofErr w:type="gramEnd"/>
            <w:r w:rsidRPr="00942B92"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7440" w:type="dxa"/>
          </w:tcPr>
          <w:p w:rsidR="00ED63EF" w:rsidRPr="003D5855" w:rsidRDefault="00ED63EF" w:rsidP="005438AB">
            <w:pPr>
              <w:jc w:val="both"/>
            </w:pPr>
            <w:r w:rsidRPr="00737524">
              <w:rPr>
                <w:bCs/>
                <w:iCs/>
              </w:rPr>
              <w:t>L’esame è sia scritto che orale. Durante l’esame verrà somministrato, a quanti si sono prenotati</w:t>
            </w:r>
            <w:r>
              <w:rPr>
                <w:bCs/>
                <w:iCs/>
              </w:rPr>
              <w:t xml:space="preserve"> sul sito </w:t>
            </w:r>
            <w:hyperlink r:id="rId17" w:history="1">
              <w:r w:rsidRPr="009E36CB">
                <w:rPr>
                  <w:rStyle w:val="Hyperlink"/>
                </w:rPr>
                <w:t>www.cognitivelab.it</w:t>
              </w:r>
            </w:hyperlink>
            <w:r w:rsidRPr="006555AE">
              <w:rPr>
                <w:rStyle w:val="Hyperlink"/>
                <w:u w:val="none"/>
              </w:rPr>
              <w:t>,</w:t>
            </w:r>
            <w:r w:rsidRPr="00737524">
              <w:rPr>
                <w:bCs/>
                <w:iCs/>
              </w:rPr>
              <w:t xml:space="preserve"> 1 questionario con 16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>
              <w:rPr>
                <w:bCs/>
                <w:iCs/>
              </w:rPr>
              <w:t xml:space="preserve">) relativo al </w:t>
            </w:r>
            <w:r>
              <w:rPr>
                <w:bCs/>
                <w:iCs/>
              </w:rPr>
              <w:lastRenderedPageBreak/>
              <w:t>manuale</w:t>
            </w:r>
            <w:r w:rsidRPr="00737524">
              <w:rPr>
                <w:bCs/>
                <w:iCs/>
              </w:rPr>
              <w:t xml:space="preserve"> di </w:t>
            </w:r>
            <w:r w:rsidRPr="006555AE">
              <w:rPr>
                <w:bCs/>
                <w:i/>
                <w:iCs/>
              </w:rPr>
              <w:t>Atkinson &amp; Hilgard’s Introduzione alla Psicologia</w:t>
            </w:r>
            <w:r>
              <w:rPr>
                <w:bCs/>
                <w:iCs/>
              </w:rPr>
              <w:t xml:space="preserve"> e di </w:t>
            </w:r>
            <w:r>
              <w:rPr>
                <w:bCs/>
                <w:i/>
                <w:iCs/>
              </w:rPr>
              <w:t xml:space="preserve">Storia della psicologia. </w:t>
            </w:r>
            <w:r w:rsidRPr="00737524">
              <w:rPr>
                <w:bCs/>
                <w:iCs/>
              </w:rPr>
              <w:t xml:space="preserve">Quanti avranno superato la prova scritta (almeno </w:t>
            </w:r>
            <w:proofErr w:type="gramStart"/>
            <w:r w:rsidRPr="00737524">
              <w:rPr>
                <w:b/>
                <w:bCs/>
                <w:iCs/>
              </w:rPr>
              <w:t>9</w:t>
            </w:r>
            <w:proofErr w:type="gramEnd"/>
            <w:r w:rsidRPr="00737524">
              <w:rPr>
                <w:b/>
                <w:bCs/>
                <w:iCs/>
              </w:rPr>
              <w:t xml:space="preserve"> punti</w:t>
            </w:r>
            <w:r w:rsidRPr="00737524">
              <w:rPr>
                <w:bCs/>
                <w:iCs/>
              </w:rPr>
              <w:t xml:space="preserve"> che possono essere raggiunti con almeno 9 risposte esatte oppure con le risposte esatte </w:t>
            </w:r>
            <w:r>
              <w:rPr>
                <w:bCs/>
                <w:iCs/>
              </w:rPr>
              <w:t>(</w:t>
            </w:r>
            <w:r w:rsidRPr="00737524">
              <w:rPr>
                <w:bCs/>
                <w:iCs/>
              </w:rPr>
              <w:t>più il numero di crediti acquisiti durante le sperimentazioni) sosterranno successivamente (nello stesso giorno) la prova orale sull’intero programma d’esame.</w:t>
            </w:r>
          </w:p>
        </w:tc>
      </w:tr>
    </w:tbl>
    <w:p w:rsidR="00ED63EF" w:rsidRPr="00942B92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63EF" w:rsidRPr="00942B92" w:rsidTr="005438AB">
        <w:tc>
          <w:tcPr>
            <w:tcW w:w="977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C962BA" w:rsidRDefault="00ED63EF" w:rsidP="005438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 xml:space="preserve">lo studio di questi </w:t>
            </w:r>
            <w:proofErr w:type="gramStart"/>
            <w:r>
              <w:rPr>
                <w:i/>
              </w:rPr>
              <w:t>testi</w:t>
            </w:r>
            <w:proofErr w:type="gramEnd"/>
            <w:r>
              <w:rPr>
                <w:i/>
              </w:rPr>
              <w:t xml:space="preserve">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174A90" w:rsidRDefault="00ED63EF" w:rsidP="00ED63EF">
            <w:pPr>
              <w:pStyle w:val="ListParagraph"/>
              <w:numPr>
                <w:ilvl w:val="0"/>
                <w:numId w:val="11"/>
              </w:numPr>
              <w:jc w:val="both"/>
              <w:rPr>
                <w:smallCaps/>
              </w:rPr>
            </w:pPr>
            <w:r w:rsidRPr="00174A90">
              <w:rPr>
                <w:lang w:val="en-US"/>
              </w:rPr>
              <w:t>Nolen-</w:t>
            </w:r>
            <w:proofErr w:type="spellStart"/>
            <w:r w:rsidRPr="00174A90">
              <w:rPr>
                <w:lang w:val="en-US"/>
              </w:rPr>
              <w:t>Hoeksema</w:t>
            </w:r>
            <w:proofErr w:type="spellEnd"/>
            <w:r w:rsidRPr="00174A90">
              <w:rPr>
                <w:lang w:val="en-US"/>
              </w:rPr>
              <w:t xml:space="preserve">, S., Fredrickson, B. L., Loftus, G. R., &amp; </w:t>
            </w:r>
            <w:proofErr w:type="spellStart"/>
            <w:r w:rsidRPr="00174A90">
              <w:rPr>
                <w:lang w:val="en-US"/>
              </w:rPr>
              <w:t>Wagenaar</w:t>
            </w:r>
            <w:proofErr w:type="spellEnd"/>
            <w:r w:rsidRPr="00174A90">
              <w:rPr>
                <w:lang w:val="en-US"/>
              </w:rPr>
              <w:t xml:space="preserve">, W. A. (2011). </w:t>
            </w:r>
            <w:r w:rsidRPr="00174A90">
              <w:rPr>
                <w:i/>
              </w:rPr>
              <w:t>Atkinson &amp; Hilgard’s Introduzione alla Psicologia</w:t>
            </w:r>
            <w:r w:rsidRPr="006555AE">
              <w:t>. Padova: Piccin. (</w:t>
            </w:r>
            <w:r>
              <w:t>C</w:t>
            </w:r>
            <w:r w:rsidRPr="006555AE">
              <w:t>apitoli</w:t>
            </w:r>
            <w:r>
              <w:t xml:space="preserve"> da studiare: </w:t>
            </w:r>
            <w:r w:rsidRPr="00ED63EF">
              <w:t>1,2,4,5,6,7,8,10,11</w:t>
            </w:r>
            <w:r>
              <w:t xml:space="preserve">, </w:t>
            </w:r>
            <w:r w:rsidRPr="00174A90">
              <w:rPr>
                <w:i/>
              </w:rPr>
              <w:t>Appendice</w:t>
            </w:r>
            <w:r>
              <w:t xml:space="preserve"> e </w:t>
            </w:r>
            <w:r w:rsidRPr="00174A90">
              <w:rPr>
                <w:i/>
              </w:rPr>
              <w:t xml:space="preserve">Glossario; </w:t>
            </w:r>
            <w:r>
              <w:t>sono esclusi i capitoli</w:t>
            </w:r>
            <w:r w:rsidRPr="006555AE">
              <w:t xml:space="preserve"> </w:t>
            </w:r>
            <w:r>
              <w:t>13-18</w:t>
            </w:r>
            <w:proofErr w:type="gramStart"/>
            <w:r w:rsidRPr="006555AE">
              <w:t>)</w:t>
            </w:r>
            <w:proofErr w:type="gramEnd"/>
          </w:p>
        </w:tc>
      </w:tr>
      <w:tr w:rsidR="00ED63EF" w:rsidRPr="00942B92" w:rsidTr="005438AB">
        <w:tc>
          <w:tcPr>
            <w:tcW w:w="9778" w:type="dxa"/>
          </w:tcPr>
          <w:p w:rsidR="00ED63EF" w:rsidRPr="00174A90" w:rsidRDefault="00ED63EF" w:rsidP="00ED63EF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</w:rPr>
            </w:pPr>
            <w:proofErr w:type="gramStart"/>
            <w:r w:rsidRPr="00174A90">
              <w:rPr>
                <w:i/>
              </w:rPr>
              <w:t>Linee guida di Psicologia generale</w:t>
            </w:r>
            <w:r>
              <w:t xml:space="preserve"> (2011-2012) disponibili online al sito: </w:t>
            </w:r>
            <w:hyperlink r:id="rId18" w:history="1">
              <w:r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  <w:proofErr w:type="gramEnd"/>
          </w:p>
        </w:tc>
      </w:tr>
      <w:tr w:rsidR="00ED63EF" w:rsidRPr="00942B92" w:rsidTr="005438AB">
        <w:tc>
          <w:tcPr>
            <w:tcW w:w="9778" w:type="dxa"/>
          </w:tcPr>
          <w:p w:rsidR="00ED63EF" w:rsidRPr="00C962BA" w:rsidRDefault="00ED63EF" w:rsidP="005438AB">
            <w:pPr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 esporne il contenuto, e la valutazione finale dell’esame terrà conto anche di questa preparazione che resta comunque facoltativa</w:t>
            </w:r>
            <w:proofErr w:type="gramEnd"/>
            <w:r>
              <w:rPr>
                <w:i/>
              </w:rPr>
              <w:t>)</w:t>
            </w:r>
            <w:r w:rsidRPr="00476537">
              <w:t>:</w:t>
            </w:r>
          </w:p>
        </w:tc>
      </w:tr>
      <w:tr w:rsidR="00ED63EF" w:rsidRPr="005D03F3" w:rsidTr="005438AB">
        <w:tc>
          <w:tcPr>
            <w:tcW w:w="9778" w:type="dxa"/>
          </w:tcPr>
          <w:p w:rsidR="00ED63EF" w:rsidRPr="00356B2B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 </w:t>
            </w:r>
            <w:hyperlink r:id="rId19" w:history="1">
              <w:r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ED63EF" w:rsidRPr="005C7317" w:rsidTr="005438AB">
        <w:tc>
          <w:tcPr>
            <w:tcW w:w="9778" w:type="dxa"/>
          </w:tcPr>
          <w:p w:rsidR="00ED63EF" w:rsidRPr="005C7317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proofErr w:type="spellStart"/>
            <w:r w:rsidRPr="005C7317">
              <w:rPr>
                <w:smallCaps/>
              </w:rPr>
              <w:t>Camperio</w:t>
            </w:r>
            <w:proofErr w:type="spellEnd"/>
            <w:r w:rsidRPr="005C7317">
              <w:rPr>
                <w:smallCaps/>
              </w:rPr>
              <w:t xml:space="preserve"> Ciani, A., Corna, F., &amp; </w:t>
            </w:r>
            <w:proofErr w:type="spellStart"/>
            <w:r w:rsidRPr="005C7317">
              <w:rPr>
                <w:smallCaps/>
              </w:rPr>
              <w:t>Capiluppi</w:t>
            </w:r>
            <w:proofErr w:type="spellEnd"/>
            <w:r w:rsidRPr="005C7317">
              <w:rPr>
                <w:smallCaps/>
              </w:rPr>
              <w:t xml:space="preserve">, C. (2004). </w:t>
            </w:r>
            <w:r w:rsidRPr="005C7317">
              <w:rPr>
                <w:lang w:val="en-US"/>
              </w:rPr>
              <w:t xml:space="preserve">Evidence for maternally inherited factors </w:t>
            </w:r>
            <w:proofErr w:type="spellStart"/>
            <w:r w:rsidRPr="005C7317">
              <w:rPr>
                <w:lang w:val="en-US"/>
              </w:rPr>
              <w:t>favouring</w:t>
            </w:r>
            <w:proofErr w:type="spellEnd"/>
            <w:r w:rsidRPr="005C7317">
              <w:rPr>
                <w:lang w:val="en-US"/>
              </w:rPr>
              <w:t xml:space="preserve"> male homosexuality and </w:t>
            </w:r>
            <w:r>
              <w:rPr>
                <w:lang w:val="en-US"/>
              </w:rPr>
              <w:t xml:space="preserve">promoting female fecundity. </w:t>
            </w:r>
            <w:r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6F0C81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proofErr w:type="spellStart"/>
            <w:r>
              <w:rPr>
                <w:smallCaps/>
              </w:rPr>
              <w:t>Eibl-Eibesfeldt</w:t>
            </w:r>
            <w:proofErr w:type="spellEnd"/>
            <w:r>
              <w:rPr>
                <w:smallCaps/>
              </w:rPr>
              <w:t xml:space="preserve">, I. </w:t>
            </w:r>
            <w:r w:rsidRPr="006F0C81">
              <w:t xml:space="preserve">(2001). </w:t>
            </w:r>
            <w:r w:rsidRPr="006F0C81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Federici</w:t>
            </w:r>
            <w:r w:rsidRPr="0011407E">
              <w:t xml:space="preserve">, S. (2002). </w:t>
            </w:r>
            <w:r w:rsidRPr="00A329DB">
              <w:rPr>
                <w:i/>
                <w:iCs/>
              </w:rPr>
              <w:t xml:space="preserve">Sessualità alterabili. </w:t>
            </w:r>
            <w:proofErr w:type="gramStart"/>
            <w:r w:rsidRPr="00A329DB">
              <w:rPr>
                <w:i/>
                <w:iCs/>
              </w:rPr>
              <w:t>Indagine sulle influenze socioambientali nello sviluppo della sessualità di persone con disabilità in Italia</w:t>
            </w:r>
            <w:proofErr w:type="gramEnd"/>
            <w:r>
              <w:t>. Roma</w:t>
            </w:r>
            <w:r w:rsidRPr="0011407E">
              <w:t>: Kappa.</w:t>
            </w:r>
          </w:p>
        </w:tc>
      </w:tr>
      <w:tr w:rsidR="00ED63EF" w:rsidRPr="00B255CA" w:rsidTr="005438AB">
        <w:tc>
          <w:tcPr>
            <w:tcW w:w="9778" w:type="dxa"/>
          </w:tcPr>
          <w:p w:rsidR="00ED63EF" w:rsidRPr="00B255CA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</w:t>
            </w:r>
            <w:proofErr w:type="gramStart"/>
            <w:r w:rsidRPr="00B255CA">
              <w:t xml:space="preserve">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</w:t>
            </w:r>
            <w:proofErr w:type="gramEnd"/>
            <w:r w:rsidRPr="00A329DB">
              <w:rPr>
                <w:i/>
                <w:iCs/>
              </w:rPr>
              <w:t xml:space="preserve">. Scritti in memoria di Maria Grazia </w:t>
            </w:r>
            <w:proofErr w:type="spellStart"/>
            <w:r w:rsidRPr="00A329DB">
              <w:rPr>
                <w:i/>
                <w:iCs/>
              </w:rPr>
              <w:t>Giuntella</w:t>
            </w:r>
            <w:proofErr w:type="spellEnd"/>
            <w:proofErr w:type="gramStart"/>
            <w:r w:rsidRPr="00B255CA">
              <w:t xml:space="preserve">  </w:t>
            </w:r>
            <w:proofErr w:type="gramEnd"/>
            <w:r w:rsidRPr="00B255CA">
              <w:t>(pp. 323-344). Roma: Aracne.</w:t>
            </w:r>
          </w:p>
        </w:tc>
      </w:tr>
      <w:tr w:rsidR="00ED63EF" w:rsidRPr="005D03F3" w:rsidTr="005438AB">
        <w:tc>
          <w:tcPr>
            <w:tcW w:w="9778" w:type="dxa"/>
          </w:tcPr>
          <w:p w:rsidR="00ED63EF" w:rsidRPr="00866303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866303">
              <w:rPr>
                <w:smallCaps/>
                <w:lang w:val="en-US"/>
              </w:rPr>
              <w:t>Federici, S., &amp; Borsci, S. (2010</w:t>
            </w:r>
            <w:r w:rsidRPr="00866303">
              <w:rPr>
                <w:lang w:val="en-US"/>
              </w:rPr>
              <w:t xml:space="preserve">). Usability evaluation: models, methods, and applications. In J. Stone &amp; M. </w:t>
            </w:r>
            <w:proofErr w:type="spellStart"/>
            <w:r w:rsidRPr="00866303">
              <w:rPr>
                <w:lang w:val="en-US"/>
              </w:rPr>
              <w:t>Blouin</w:t>
            </w:r>
            <w:proofErr w:type="spellEnd"/>
            <w:r w:rsidRPr="00866303">
              <w:rPr>
                <w:lang w:val="en-US"/>
              </w:rPr>
              <w:t xml:space="preserve"> (Eds.), </w:t>
            </w:r>
            <w:r w:rsidRPr="005C4B95">
              <w:rPr>
                <w:i/>
                <w:lang w:val="en-US"/>
              </w:rPr>
              <w:t>International Encyclopedia of Rehabilitation</w:t>
            </w:r>
            <w:r w:rsidRPr="00866303">
              <w:rPr>
                <w:lang w:val="en-US"/>
              </w:rPr>
              <w:t xml:space="preserve"> (pp. 1-17). Buffalo, NY, US: Center for International Rehabilitation Research Information and Exchange (</w:t>
            </w:r>
            <w:proofErr w:type="spellStart"/>
            <w:r w:rsidRPr="00866303">
              <w:rPr>
                <w:lang w:val="en-US"/>
              </w:rPr>
              <w:t>CIRRIE</w:t>
            </w:r>
            <w:proofErr w:type="spellEnd"/>
            <w:r w:rsidRPr="00866303">
              <w:rPr>
                <w:lang w:val="en-US"/>
              </w:rPr>
              <w:t xml:space="preserve">). Retrieved from </w:t>
            </w:r>
            <w:hyperlink r:id="rId20" w:history="1">
              <w:r w:rsidRPr="00AB52E4">
                <w:rPr>
                  <w:rStyle w:val="Hyperlink"/>
                  <w:lang w:val="en-US"/>
                </w:rPr>
                <w:t>http://cirrie.buffalo.edu/encyclopedia/article.php?id=277&amp;language=en</w:t>
              </w:r>
            </w:hyperlink>
          </w:p>
        </w:tc>
      </w:tr>
      <w:tr w:rsidR="00ED63EF" w:rsidRPr="00B255CA" w:rsidTr="005438AB">
        <w:tc>
          <w:tcPr>
            <w:tcW w:w="9778" w:type="dxa"/>
          </w:tcPr>
          <w:p w:rsidR="00ED63EF" w:rsidRPr="00866303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</w:t>
            </w:r>
            <w:proofErr w:type="gramStart"/>
            <w:r w:rsidRPr="00866303">
              <w:rPr>
                <w:smallCaps/>
              </w:rPr>
              <w:t>J.</w:t>
            </w:r>
            <w:proofErr w:type="gramEnd"/>
            <w:r w:rsidRPr="00866303">
              <w:rPr>
                <w:smallCaps/>
              </w:rPr>
              <w:t xml:space="preserve">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proofErr w:type="gramStart"/>
            <w:r w:rsidRPr="00866303">
              <w:t>(</w:t>
            </w:r>
            <w:proofErr w:type="gramEnd"/>
            <w:r w:rsidRPr="00866303">
              <w:t xml:space="preserve">2), 203-208. </w:t>
            </w:r>
            <w:proofErr w:type="gramStart"/>
            <w:r w:rsidRPr="00866303">
              <w:t>doi</w:t>
            </w:r>
            <w:proofErr w:type="gramEnd"/>
            <w:r w:rsidRPr="00866303">
              <w:t>:10.1007/s10339-010-0374-8</w:t>
            </w:r>
          </w:p>
        </w:tc>
      </w:tr>
      <w:tr w:rsidR="00ED63EF" w:rsidRPr="005D03F3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GB" w:eastAsia="en-US"/>
              </w:rPr>
            </w:pPr>
            <w:r>
              <w:rPr>
                <w:smallCaps/>
                <w:lang w:val="en-GB" w:eastAsia="en-US"/>
              </w:rPr>
              <w:t>Federici, S., &amp; Meloni, F.</w:t>
            </w:r>
            <w:r>
              <w:rPr>
                <w:lang w:val="en-GB" w:eastAsia="en-US"/>
              </w:rPr>
              <w:t xml:space="preserve"> (2009). Making Decisions and Judgments on Disability: The Disability Representation of Parents, Teachers, and Special Needs Educators. </w:t>
            </w:r>
            <w:r>
              <w:rPr>
                <w:i/>
                <w:iCs/>
                <w:lang w:val="en-GB" w:eastAsia="en-US"/>
              </w:rPr>
              <w:t>Journal of Education, Informatics and Cybernetics, 1</w:t>
            </w:r>
            <w:r>
              <w:rPr>
                <w:lang w:val="en-GB" w:eastAsia="en-US"/>
              </w:rPr>
              <w:t xml:space="preserve">(3), 20-26. </w:t>
            </w:r>
            <w:hyperlink r:id="rId21" w:history="1">
              <w:r>
                <w:rPr>
                  <w:rStyle w:val="Hyperlink"/>
                  <w:rFonts w:cs="Book Antiqua"/>
                  <w:lang w:val="en-GB" w:eastAsia="en-US"/>
                </w:rPr>
                <w:t>http://www.journaleic.com/article/view/3440/2491</w:t>
              </w:r>
            </w:hyperlink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A329DB">
              <w:rPr>
                <w:i/>
                <w:iCs/>
              </w:rPr>
              <w:t>La mente inventata. Le basi biologiche dell’identità e della coscienza</w:t>
            </w:r>
            <w:r w:rsidRPr="0011407E">
              <w:t xml:space="preserve">. Milano: </w:t>
            </w:r>
            <w:proofErr w:type="spellStart"/>
            <w:r w:rsidRPr="0011407E">
              <w:t>Guerini</w:t>
            </w:r>
            <w:proofErr w:type="spellEnd"/>
            <w:r w:rsidRPr="0011407E">
              <w:t>.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Pr="00A329DB" w:rsidRDefault="00ED63EF" w:rsidP="005438AB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A329DB">
              <w:rPr>
                <w:smallCaps/>
                <w:lang w:val="en-GB"/>
              </w:rPr>
              <w:t>Gazzaniga</w:t>
            </w:r>
            <w:r w:rsidRPr="00A329DB">
              <w:rPr>
                <w:lang w:val="en-GB"/>
              </w:rPr>
              <w:t xml:space="preserve">, M. S. (2002). The Split Brain Revisited. </w:t>
            </w:r>
            <w:r w:rsidRPr="00A329DB">
              <w:rPr>
                <w:i/>
                <w:iCs/>
                <w:lang w:val="en-GB"/>
              </w:rPr>
              <w:t>Scientific American Special Edition, 12</w:t>
            </w:r>
            <w:r w:rsidRPr="00A329DB">
              <w:rPr>
                <w:lang w:val="en-GB"/>
              </w:rPr>
              <w:t>(1), 27-31.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4D4396">
              <w:rPr>
                <w:smallCaps/>
              </w:rPr>
              <w:t>Gazzaniga</w:t>
            </w:r>
            <w:r>
              <w:t xml:space="preserve">, M. S. </w:t>
            </w:r>
            <w:r w:rsidRPr="00A329DB">
              <w:t xml:space="preserve">(2009). </w:t>
            </w:r>
            <w:r w:rsidRPr="00A329DB">
              <w:rPr>
                <w:i/>
                <w:iCs/>
              </w:rPr>
              <w:t>Human: Quel che ci rende unici</w:t>
            </w:r>
            <w:r w:rsidRPr="00A329DB">
              <w:t>. Roma: Raffaello Cortina.</w:t>
            </w:r>
          </w:p>
        </w:tc>
      </w:tr>
      <w:tr w:rsidR="00ED63EF" w:rsidRPr="00866303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US" w:eastAsia="en-US"/>
              </w:rPr>
            </w:pPr>
            <w:r w:rsidRPr="00661111">
              <w:rPr>
                <w:smallCaps/>
                <w:lang w:eastAsia="en-US"/>
              </w:rPr>
              <w:t>Harris</w:t>
            </w:r>
            <w:r w:rsidRPr="00661111">
              <w:rPr>
                <w:lang w:eastAsia="en-US"/>
              </w:rPr>
              <w:t xml:space="preserve">, </w:t>
            </w:r>
            <w:proofErr w:type="gramStart"/>
            <w:r w:rsidRPr="00661111">
              <w:rPr>
                <w:lang w:eastAsia="en-US"/>
              </w:rPr>
              <w:t>J.</w:t>
            </w:r>
            <w:proofErr w:type="gramEnd"/>
            <w:r w:rsidRPr="00661111">
              <w:rPr>
                <w:lang w:eastAsia="en-US"/>
              </w:rPr>
              <w:t xml:space="preserve"> R. (1999). </w:t>
            </w:r>
            <w:r w:rsidRPr="00661111">
              <w:rPr>
                <w:i/>
                <w:iCs/>
                <w:lang w:eastAsia="en-US"/>
              </w:rPr>
              <w:t>Non è colpa dei genitori</w:t>
            </w:r>
            <w:r w:rsidRPr="00661111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 xml:space="preserve">Milano: </w:t>
            </w:r>
            <w:proofErr w:type="spellStart"/>
            <w:r>
              <w:rPr>
                <w:lang w:val="en-US" w:eastAsia="en-US"/>
              </w:rPr>
              <w:t>Mondadori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val="en-US" w:eastAsia="en-US"/>
              </w:rPr>
            </w:pPr>
            <w:r w:rsidRPr="000D1BDB">
              <w:rPr>
                <w:smallCaps/>
                <w:szCs w:val="28"/>
                <w:lang w:eastAsia="en-US"/>
              </w:rPr>
              <w:t>Meloni, F., Federici, S., &amp; Stella, A.</w:t>
            </w:r>
            <w:r w:rsidRPr="00661111">
              <w:rPr>
                <w:szCs w:val="28"/>
                <w:lang w:eastAsia="en-US"/>
              </w:rPr>
              <w:t xml:space="preserve"> (2011). </w:t>
            </w:r>
            <w:r>
              <w:rPr>
                <w:szCs w:val="28"/>
                <w:lang w:val="en-US" w:eastAsia="en-US"/>
              </w:rPr>
              <w:t xml:space="preserve">The Psychologist’s Role: A Neglected Presence in the Assistive Technology Assessment Process. In G. J. Gelderblom, M. </w:t>
            </w:r>
            <w:proofErr w:type="spellStart"/>
            <w:r>
              <w:rPr>
                <w:szCs w:val="28"/>
                <w:lang w:val="en-US" w:eastAsia="en-US"/>
              </w:rPr>
              <w:t>Soede</w:t>
            </w:r>
            <w:proofErr w:type="spellEnd"/>
            <w:r>
              <w:rPr>
                <w:szCs w:val="28"/>
                <w:lang w:val="en-US" w:eastAsia="en-US"/>
              </w:rPr>
              <w:t xml:space="preserve">, L. </w:t>
            </w:r>
            <w:proofErr w:type="spellStart"/>
            <w:r>
              <w:rPr>
                <w:szCs w:val="28"/>
                <w:lang w:val="en-US" w:eastAsia="en-US"/>
              </w:rPr>
              <w:t>Adriaens</w:t>
            </w:r>
            <w:proofErr w:type="spellEnd"/>
            <w:r>
              <w:rPr>
                <w:szCs w:val="28"/>
                <w:lang w:val="en-US" w:eastAsia="en-US"/>
              </w:rPr>
              <w:t xml:space="preserve"> &amp; K. Miesenberger (Eds.), </w:t>
            </w:r>
            <w:r>
              <w:rPr>
                <w:i/>
                <w:iCs/>
                <w:szCs w:val="28"/>
                <w:lang w:val="en-US" w:eastAsia="en-US"/>
              </w:rPr>
              <w:t>Everyday Technology for Independence and Care: AAATE 2011</w:t>
            </w:r>
            <w:r>
              <w:rPr>
                <w:szCs w:val="28"/>
                <w:lang w:val="en-US" w:eastAsia="en-US"/>
              </w:rPr>
              <w:t xml:space="preserve"> (Vol. 29, pp. 1199-1206). Amsterdam, NL: </w:t>
            </w:r>
            <w:proofErr w:type="spellStart"/>
            <w:r>
              <w:rPr>
                <w:szCs w:val="28"/>
                <w:lang w:val="en-US" w:eastAsia="en-US"/>
              </w:rPr>
              <w:t>IOS</w:t>
            </w:r>
            <w:proofErr w:type="spellEnd"/>
            <w:r>
              <w:rPr>
                <w:szCs w:val="28"/>
                <w:lang w:val="en-US" w:eastAsia="en-US"/>
              </w:rPr>
              <w:t xml:space="preserve"> Press. doi:10.3233/978-1-60750-814-4-1199</w:t>
            </w:r>
          </w:p>
        </w:tc>
      </w:tr>
      <w:tr w:rsidR="00ED63EF" w:rsidRPr="000D1BDB" w:rsidTr="005438AB">
        <w:tc>
          <w:tcPr>
            <w:tcW w:w="9778" w:type="dxa"/>
          </w:tcPr>
          <w:p w:rsidR="00ED63EF" w:rsidRPr="000D1BDB" w:rsidRDefault="00ED63EF" w:rsidP="005438A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proofErr w:type="spellStart"/>
            <w:r w:rsidRPr="000D1BDB">
              <w:rPr>
                <w:smallCaps/>
                <w:szCs w:val="28"/>
                <w:lang w:val="en-US" w:eastAsia="en-US"/>
              </w:rPr>
              <w:t>Holyoak</w:t>
            </w:r>
            <w:proofErr w:type="spellEnd"/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</w:t>
            </w:r>
            <w:proofErr w:type="spellStart"/>
            <w:r w:rsidRPr="000D1BDB">
              <w:rPr>
                <w:szCs w:val="28"/>
                <w:lang w:val="en-US" w:eastAsia="en-US"/>
              </w:rPr>
              <w:t>Keil</w:t>
            </w:r>
            <w:proofErr w:type="spellEnd"/>
            <w:r w:rsidRPr="000D1BDB">
              <w:rPr>
                <w:szCs w:val="28"/>
                <w:lang w:val="en-US" w:eastAsia="en-US"/>
              </w:rPr>
              <w:t xml:space="preserve">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ED63EF" w:rsidRPr="007452EF" w:rsidTr="005438AB">
        <w:tc>
          <w:tcPr>
            <w:tcW w:w="9778" w:type="dxa"/>
          </w:tcPr>
          <w:p w:rsidR="00ED63EF" w:rsidRPr="00661111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661111">
              <w:rPr>
                <w:smallCaps/>
              </w:rPr>
              <w:t xml:space="preserve">Kandel, </w:t>
            </w:r>
            <w:proofErr w:type="gramStart"/>
            <w:r w:rsidRPr="00661111">
              <w:rPr>
                <w:smallCaps/>
              </w:rPr>
              <w:t>E.</w:t>
            </w:r>
            <w:proofErr w:type="gramEnd"/>
            <w:r w:rsidRPr="00661111">
              <w:rPr>
                <w:smallCaps/>
              </w:rPr>
              <w:t xml:space="preserve"> R. (2003). </w:t>
            </w:r>
            <w:r w:rsidRPr="00661111">
              <w:t xml:space="preserve">Cervello e comportamento. In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Kandel, J. H. </w:t>
            </w:r>
            <w:proofErr w:type="spellStart"/>
            <w:r w:rsidRPr="00661111">
              <w:t>Schwartz</w:t>
            </w:r>
            <w:proofErr w:type="spellEnd"/>
            <w:r w:rsidRPr="00661111">
              <w:t xml:space="preserve">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5-19). Milano: </w:t>
            </w:r>
            <w:proofErr w:type="spellStart"/>
            <w:r w:rsidRPr="00661111">
              <w:t>CEA</w:t>
            </w:r>
            <w:proofErr w:type="spellEnd"/>
          </w:p>
        </w:tc>
      </w:tr>
      <w:tr w:rsidR="00ED63EF" w:rsidRPr="00942B92" w:rsidTr="005438AB">
        <w:tc>
          <w:tcPr>
            <w:tcW w:w="9778" w:type="dxa"/>
          </w:tcPr>
          <w:p w:rsidR="00ED63EF" w:rsidRPr="007452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661111">
              <w:t>K</w:t>
            </w:r>
            <w:r w:rsidRPr="000D1BDB">
              <w:rPr>
                <w:smallCaps/>
              </w:rPr>
              <w:t>andel</w:t>
            </w:r>
            <w:r w:rsidRPr="00661111">
              <w:t xml:space="preserve">,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</w:t>
            </w:r>
            <w:proofErr w:type="gramStart"/>
            <w:r w:rsidRPr="00661111">
              <w:t>cellulare necessaria</w:t>
            </w:r>
            <w:proofErr w:type="gramEnd"/>
            <w:r w:rsidRPr="00661111">
              <w:t xml:space="preserve"> per la percezione e per l’azione. In </w:t>
            </w:r>
            <w:proofErr w:type="gramStart"/>
            <w:r w:rsidRPr="00661111">
              <w:t>E.</w:t>
            </w:r>
            <w:proofErr w:type="gramEnd"/>
            <w:r w:rsidRPr="00661111">
              <w:t xml:space="preserve"> R. Kandel, J. H. </w:t>
            </w:r>
            <w:proofErr w:type="spellStart"/>
            <w:r w:rsidRPr="00661111">
              <w:t>Schwartz</w:t>
            </w:r>
            <w:proofErr w:type="spellEnd"/>
            <w:r w:rsidRPr="00661111">
              <w:t xml:space="preserve">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377-399). Milano: </w:t>
            </w:r>
            <w:proofErr w:type="spellStart"/>
            <w:r w:rsidRPr="00661111">
              <w:t>CEA</w:t>
            </w:r>
            <w:proofErr w:type="spellEnd"/>
          </w:p>
        </w:tc>
      </w:tr>
      <w:tr w:rsidR="00ED63EF" w:rsidRPr="00942B92" w:rsidTr="005438AB">
        <w:tc>
          <w:tcPr>
            <w:tcW w:w="9778" w:type="dxa"/>
          </w:tcPr>
          <w:p w:rsidR="00ED63EF" w:rsidRPr="007452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Newberg, A. B., d’</w:t>
            </w:r>
            <w:proofErr w:type="spellStart"/>
            <w:r w:rsidRPr="00A329DB">
              <w:rPr>
                <w:smallCaps/>
              </w:rPr>
              <w:t>Aquili</w:t>
            </w:r>
            <w:proofErr w:type="spellEnd"/>
            <w:r w:rsidRPr="00A329DB">
              <w:rPr>
                <w:smallCaps/>
              </w:rPr>
              <w:t xml:space="preserve">, </w:t>
            </w:r>
            <w:proofErr w:type="gramStart"/>
            <w:r w:rsidRPr="00A329DB">
              <w:rPr>
                <w:smallCaps/>
              </w:rPr>
              <w:t>E.</w:t>
            </w:r>
            <w:proofErr w:type="gramEnd"/>
            <w:r w:rsidRPr="00A329DB">
              <w:rPr>
                <w:smallCaps/>
              </w:rPr>
              <w:t xml:space="preserve"> G., &amp; </w:t>
            </w:r>
            <w:proofErr w:type="spellStart"/>
            <w:r w:rsidRPr="00A329DB">
              <w:rPr>
                <w:smallCaps/>
              </w:rPr>
              <w:t>Rause</w:t>
            </w:r>
            <w:proofErr w:type="spellEnd"/>
            <w:r w:rsidRPr="00A329DB">
              <w:rPr>
                <w:smallCaps/>
              </w:rPr>
              <w:t>,</w:t>
            </w:r>
            <w:r>
              <w:t xml:space="preserve"> V. </w:t>
            </w:r>
            <w:r w:rsidRPr="007452EF">
              <w:t xml:space="preserve">(2001). </w:t>
            </w:r>
            <w:r w:rsidRPr="00A329DB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Pinker</w:t>
            </w:r>
            <w:r w:rsidRPr="0011407E">
              <w:t xml:space="preserve">, S. (2006). </w:t>
            </w:r>
            <w:r w:rsidRPr="00A329DB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Plotkin</w:t>
            </w:r>
            <w:r w:rsidRPr="0011407E">
              <w:t xml:space="preserve">, </w:t>
            </w:r>
            <w:proofErr w:type="gramStart"/>
            <w:r w:rsidRPr="0011407E">
              <w:t>H.</w:t>
            </w:r>
            <w:proofErr w:type="gramEnd"/>
            <w:r w:rsidRPr="0011407E">
              <w:t xml:space="preserve"> (2002). </w:t>
            </w:r>
            <w:r w:rsidRPr="00A329DB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  <w:tr w:rsidR="00ED63EF" w:rsidRPr="005D03F3" w:rsidTr="005438AB">
        <w:tc>
          <w:tcPr>
            <w:tcW w:w="9778" w:type="dxa"/>
          </w:tcPr>
          <w:p w:rsidR="00ED63EF" w:rsidRPr="00356B2B" w:rsidRDefault="00ED63EF" w:rsidP="005438A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61111">
              <w:rPr>
                <w:smallCaps/>
                <w:lang w:val="en-US"/>
              </w:rPr>
              <w:t xml:space="preserve">Premack, D. (2007). </w:t>
            </w:r>
            <w:r w:rsidRPr="00661111">
              <w:rPr>
                <w:lang w:val="en-US"/>
              </w:rPr>
              <w:t xml:space="preserve">Human and animal cognition: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 xml:space="preserve">Proceedings of the National Academy of Sciences of the </w:t>
            </w:r>
            <w:r w:rsidRPr="00661111">
              <w:rPr>
                <w:i/>
                <w:iCs/>
                <w:lang w:val="en-US"/>
              </w:rPr>
              <w:lastRenderedPageBreak/>
              <w:t>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B2784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lastRenderedPageBreak/>
              <w:t>Ramachandran</w:t>
            </w:r>
            <w:r w:rsidRPr="001D67C4">
              <w:t xml:space="preserve">, V. S. (2006). </w:t>
            </w:r>
            <w:r w:rsidRPr="00A329DB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ED63EF" w:rsidRPr="00942B92" w:rsidTr="005438AB">
        <w:tc>
          <w:tcPr>
            <w:tcW w:w="9778" w:type="dxa"/>
          </w:tcPr>
          <w:p w:rsidR="00ED63EF" w:rsidRPr="00B2784F" w:rsidRDefault="00ED63EF" w:rsidP="005438A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  <w:lang w:val="en-US"/>
              </w:rPr>
              <w:t>Ramachandran, V. S., &amp; Blakeslee, S.</w:t>
            </w:r>
            <w:r w:rsidRPr="00A329DB">
              <w:rPr>
                <w:lang w:val="en-US"/>
              </w:rPr>
              <w:t xml:space="preserve"> (2003). </w:t>
            </w:r>
            <w:r w:rsidRPr="00A329DB">
              <w:rPr>
                <w:i/>
              </w:rPr>
              <w:t>La donna che morì dal ridere e altre storie incredibili sui misteri della mente umana</w:t>
            </w:r>
            <w:r w:rsidRPr="001D67C4">
              <w:t>. Milano: Mondadori.</w:t>
            </w:r>
          </w:p>
        </w:tc>
      </w:tr>
    </w:tbl>
    <w:p w:rsidR="00D81B4A" w:rsidRPr="00942B92" w:rsidRDefault="00D81B4A" w:rsidP="004D4396">
      <w:pPr>
        <w:rPr>
          <w:sz w:val="24"/>
        </w:rPr>
      </w:pPr>
    </w:p>
    <w:sectPr w:rsidR="00D81B4A" w:rsidRPr="00942B92" w:rsidSect="00107C5C">
      <w:footerReference w:type="default" r:id="rId2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CF" w:rsidRDefault="00E51FCF" w:rsidP="00866303">
      <w:r>
        <w:separator/>
      </w:r>
    </w:p>
  </w:endnote>
  <w:endnote w:type="continuationSeparator" w:id="0">
    <w:p w:rsidR="00E51FCF" w:rsidRDefault="00E51FCF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6303" w:rsidRDefault="00866303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3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303" w:rsidRDefault="00866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CF" w:rsidRDefault="00E51FCF" w:rsidP="00866303">
      <w:r>
        <w:separator/>
      </w:r>
    </w:p>
  </w:footnote>
  <w:footnote w:type="continuationSeparator" w:id="0">
    <w:p w:rsidR="00E51FCF" w:rsidRDefault="00E51FCF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A4E9E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8"/>
    <w:rsid w:val="00022F2A"/>
    <w:rsid w:val="0002699D"/>
    <w:rsid w:val="000271BF"/>
    <w:rsid w:val="00072028"/>
    <w:rsid w:val="000A4DFC"/>
    <w:rsid w:val="000B4FF3"/>
    <w:rsid w:val="000D1BDB"/>
    <w:rsid w:val="000D6E64"/>
    <w:rsid w:val="000F2778"/>
    <w:rsid w:val="00107C5C"/>
    <w:rsid w:val="0011407E"/>
    <w:rsid w:val="00130684"/>
    <w:rsid w:val="00167796"/>
    <w:rsid w:val="00174A90"/>
    <w:rsid w:val="0019462D"/>
    <w:rsid w:val="001A03FF"/>
    <w:rsid w:val="001C51D8"/>
    <w:rsid w:val="001D67C4"/>
    <w:rsid w:val="001F47F7"/>
    <w:rsid w:val="00223889"/>
    <w:rsid w:val="00224B55"/>
    <w:rsid w:val="002258E9"/>
    <w:rsid w:val="0024642D"/>
    <w:rsid w:val="00267EA6"/>
    <w:rsid w:val="002D6B2C"/>
    <w:rsid w:val="002E5055"/>
    <w:rsid w:val="002F7181"/>
    <w:rsid w:val="00303982"/>
    <w:rsid w:val="00324FF0"/>
    <w:rsid w:val="003334C4"/>
    <w:rsid w:val="0034209F"/>
    <w:rsid w:val="00356B2B"/>
    <w:rsid w:val="003633FA"/>
    <w:rsid w:val="00366251"/>
    <w:rsid w:val="00383AF0"/>
    <w:rsid w:val="003A15E6"/>
    <w:rsid w:val="003A64C5"/>
    <w:rsid w:val="003B7642"/>
    <w:rsid w:val="003C2B0D"/>
    <w:rsid w:val="003D5855"/>
    <w:rsid w:val="003E000A"/>
    <w:rsid w:val="003E54FD"/>
    <w:rsid w:val="003E6B16"/>
    <w:rsid w:val="00411378"/>
    <w:rsid w:val="00414C14"/>
    <w:rsid w:val="00437572"/>
    <w:rsid w:val="004609B9"/>
    <w:rsid w:val="00461497"/>
    <w:rsid w:val="00466B26"/>
    <w:rsid w:val="00476537"/>
    <w:rsid w:val="0048651B"/>
    <w:rsid w:val="004A0F31"/>
    <w:rsid w:val="004B3174"/>
    <w:rsid w:val="004C2D90"/>
    <w:rsid w:val="004D01B9"/>
    <w:rsid w:val="004D4396"/>
    <w:rsid w:val="004D7639"/>
    <w:rsid w:val="004E34D1"/>
    <w:rsid w:val="004E6BA6"/>
    <w:rsid w:val="0051111C"/>
    <w:rsid w:val="00521F43"/>
    <w:rsid w:val="0053135A"/>
    <w:rsid w:val="005A596C"/>
    <w:rsid w:val="005B52C9"/>
    <w:rsid w:val="005C4B95"/>
    <w:rsid w:val="005C7317"/>
    <w:rsid w:val="005D03F3"/>
    <w:rsid w:val="005D2180"/>
    <w:rsid w:val="005F03FB"/>
    <w:rsid w:val="00615B27"/>
    <w:rsid w:val="0062237A"/>
    <w:rsid w:val="006335E1"/>
    <w:rsid w:val="00636AAD"/>
    <w:rsid w:val="006555AE"/>
    <w:rsid w:val="00661111"/>
    <w:rsid w:val="006A2827"/>
    <w:rsid w:val="006D1327"/>
    <w:rsid w:val="006E7224"/>
    <w:rsid w:val="006E75BF"/>
    <w:rsid w:val="006F0C81"/>
    <w:rsid w:val="00701CB3"/>
    <w:rsid w:val="0070304B"/>
    <w:rsid w:val="00713AD5"/>
    <w:rsid w:val="00713F42"/>
    <w:rsid w:val="00737524"/>
    <w:rsid w:val="007452EF"/>
    <w:rsid w:val="00780A5F"/>
    <w:rsid w:val="007A2A62"/>
    <w:rsid w:val="007B6F8C"/>
    <w:rsid w:val="007C5AEE"/>
    <w:rsid w:val="007E5145"/>
    <w:rsid w:val="0080718F"/>
    <w:rsid w:val="008163C5"/>
    <w:rsid w:val="00822A31"/>
    <w:rsid w:val="00823655"/>
    <w:rsid w:val="00832C7A"/>
    <w:rsid w:val="00850733"/>
    <w:rsid w:val="00866303"/>
    <w:rsid w:val="008B2CC6"/>
    <w:rsid w:val="008D0899"/>
    <w:rsid w:val="008D10D1"/>
    <w:rsid w:val="008E1EC0"/>
    <w:rsid w:val="008E4438"/>
    <w:rsid w:val="009039A5"/>
    <w:rsid w:val="0091481D"/>
    <w:rsid w:val="00942558"/>
    <w:rsid w:val="00942B92"/>
    <w:rsid w:val="009478DF"/>
    <w:rsid w:val="00950AD5"/>
    <w:rsid w:val="00963710"/>
    <w:rsid w:val="009769C8"/>
    <w:rsid w:val="00981784"/>
    <w:rsid w:val="009A13CE"/>
    <w:rsid w:val="009D4F40"/>
    <w:rsid w:val="009F51A8"/>
    <w:rsid w:val="009F5318"/>
    <w:rsid w:val="00A2543E"/>
    <w:rsid w:val="00A329DB"/>
    <w:rsid w:val="00A407B7"/>
    <w:rsid w:val="00A57A27"/>
    <w:rsid w:val="00A6081E"/>
    <w:rsid w:val="00A858F8"/>
    <w:rsid w:val="00A95F38"/>
    <w:rsid w:val="00A963E2"/>
    <w:rsid w:val="00AC3118"/>
    <w:rsid w:val="00AC7526"/>
    <w:rsid w:val="00AE0A74"/>
    <w:rsid w:val="00AF517B"/>
    <w:rsid w:val="00B24DE9"/>
    <w:rsid w:val="00B255CA"/>
    <w:rsid w:val="00B2784F"/>
    <w:rsid w:val="00B303DC"/>
    <w:rsid w:val="00B40335"/>
    <w:rsid w:val="00B46C51"/>
    <w:rsid w:val="00B46F00"/>
    <w:rsid w:val="00B67D4A"/>
    <w:rsid w:val="00B763BD"/>
    <w:rsid w:val="00B80807"/>
    <w:rsid w:val="00BA67B3"/>
    <w:rsid w:val="00BB4053"/>
    <w:rsid w:val="00BC0CF2"/>
    <w:rsid w:val="00BC179B"/>
    <w:rsid w:val="00BD461C"/>
    <w:rsid w:val="00BF3774"/>
    <w:rsid w:val="00C03768"/>
    <w:rsid w:val="00C20752"/>
    <w:rsid w:val="00C37949"/>
    <w:rsid w:val="00C47C03"/>
    <w:rsid w:val="00C81235"/>
    <w:rsid w:val="00C823B7"/>
    <w:rsid w:val="00C9448A"/>
    <w:rsid w:val="00C962BA"/>
    <w:rsid w:val="00CE1F20"/>
    <w:rsid w:val="00CF06C0"/>
    <w:rsid w:val="00CF3079"/>
    <w:rsid w:val="00CF3BA9"/>
    <w:rsid w:val="00D06C91"/>
    <w:rsid w:val="00D12359"/>
    <w:rsid w:val="00D268CC"/>
    <w:rsid w:val="00D37029"/>
    <w:rsid w:val="00D3751D"/>
    <w:rsid w:val="00D453E2"/>
    <w:rsid w:val="00D460EE"/>
    <w:rsid w:val="00D55459"/>
    <w:rsid w:val="00D81B4A"/>
    <w:rsid w:val="00DA213E"/>
    <w:rsid w:val="00DB1B45"/>
    <w:rsid w:val="00DB1CA2"/>
    <w:rsid w:val="00DD0490"/>
    <w:rsid w:val="00DD55C1"/>
    <w:rsid w:val="00DE6C74"/>
    <w:rsid w:val="00E3166D"/>
    <w:rsid w:val="00E51FCF"/>
    <w:rsid w:val="00E53AA5"/>
    <w:rsid w:val="00E74392"/>
    <w:rsid w:val="00E927E4"/>
    <w:rsid w:val="00E96498"/>
    <w:rsid w:val="00ED09F8"/>
    <w:rsid w:val="00ED5AC6"/>
    <w:rsid w:val="00ED63EF"/>
    <w:rsid w:val="00EF58C0"/>
    <w:rsid w:val="00F07DD5"/>
    <w:rsid w:val="00F171C6"/>
    <w:rsid w:val="00F36E6D"/>
    <w:rsid w:val="00F5123A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hyperlink" Target="http://cirrie.buffalo.edu/encyclopedia/article.php?id=277&amp;language=en" TargetMode="External"/><Relationship Id="rId18" Type="http://schemas.openxmlformats.org/officeDocument/2006/relationships/hyperlink" Target="http://www.cognitivelab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ournaleic.com/article/view/3440/24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ytimes.com/2010/05/09/magazine/09babies-t.html?_r=1&amp;pagewanted=all" TargetMode="External"/><Relationship Id="rId17" Type="http://schemas.openxmlformats.org/officeDocument/2006/relationships/hyperlink" Target="http://www.cognitivelab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gnitivelab.it" TargetMode="External"/><Relationship Id="rId20" Type="http://schemas.openxmlformats.org/officeDocument/2006/relationships/hyperlink" Target="http://cirrie.buffalo.edu/encyclopedia/article.php?id=277&amp;language=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gnitivelab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gnitivelab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gnitivelab.it" TargetMode="External"/><Relationship Id="rId19" Type="http://schemas.openxmlformats.org/officeDocument/2006/relationships/hyperlink" Target="http://www.nytimes.com/2010/05/09/magazine/09babies-t.html?_r=1&amp;pagewanted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hyperlink" Target="http://www.journaleic.com/article/view/3440/249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20006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18</cp:revision>
  <cp:lastPrinted>2011-09-16T11:16:00Z</cp:lastPrinted>
  <dcterms:created xsi:type="dcterms:W3CDTF">2011-09-02T11:06:00Z</dcterms:created>
  <dcterms:modified xsi:type="dcterms:W3CDTF">2012-02-25T13:15:00Z</dcterms:modified>
</cp:coreProperties>
</file>