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64" w:rsidRPr="00430864" w:rsidRDefault="00430864" w:rsidP="00430864">
      <w:pPr>
        <w:jc w:val="center"/>
        <w:rPr>
          <w:rFonts w:ascii="Times New Roman" w:hAnsi="Times New Roman"/>
          <w:sz w:val="24"/>
          <w:szCs w:val="20"/>
        </w:rPr>
      </w:pPr>
      <w:r w:rsidRPr="00430864">
        <w:rPr>
          <w:rFonts w:ascii="Times New Roman" w:hAnsi="Times New Roman"/>
          <w:sz w:val="24"/>
          <w:szCs w:val="20"/>
        </w:rPr>
        <w:t>SCHEDA PER L’ILLUSTRAZIONE DEL PERCORSO DIDATTICO DISCIPLINARE</w:t>
      </w:r>
    </w:p>
    <w:p w:rsidR="00430864" w:rsidRPr="00430864" w:rsidRDefault="00430864" w:rsidP="00430864">
      <w:pPr>
        <w:jc w:val="center"/>
        <w:rPr>
          <w:rFonts w:ascii="Times New Roman" w:hAnsi="Times New Roman"/>
          <w:sz w:val="24"/>
          <w:szCs w:val="20"/>
        </w:rPr>
      </w:pPr>
      <w:r w:rsidRPr="00430864">
        <w:rPr>
          <w:rFonts w:ascii="Times New Roman" w:hAnsi="Times New Roman"/>
          <w:sz w:val="24"/>
          <w:szCs w:val="20"/>
        </w:rPr>
        <w:t>2009-2010</w:t>
      </w:r>
    </w:p>
    <w:p w:rsidR="00430864" w:rsidRPr="00430864" w:rsidRDefault="00430864" w:rsidP="00430864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430864">
        <w:rPr>
          <w:rFonts w:ascii="Times New Roman" w:hAnsi="Times New Roman"/>
          <w:b/>
          <w:sz w:val="28"/>
          <w:szCs w:val="20"/>
          <w:u w:val="single"/>
        </w:rPr>
        <w:t>Psicologia dell’apprendimento e della memoria (Modulo H)</w:t>
      </w:r>
    </w:p>
    <w:p w:rsidR="00430864" w:rsidRPr="00430864" w:rsidRDefault="00430864" w:rsidP="00430864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7"/>
        <w:gridCol w:w="6702"/>
      </w:tblGrid>
      <w:tr w:rsidR="00430864" w:rsidRPr="00430864" w:rsidTr="00430864">
        <w:tc>
          <w:tcPr>
            <w:tcW w:w="1196" w:type="pct"/>
          </w:tcPr>
          <w:p w:rsidR="00430864" w:rsidRPr="00430864" w:rsidRDefault="000E6E12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CdL</w:t>
            </w:r>
            <w:r w:rsidR="00430864"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e classe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DELLA FORMAZIONE PRIMARIA</w:t>
            </w:r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Prof. Stefano Federici</w:t>
            </w:r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SD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430864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Psicologia dell’apprendimento e della memoria (Modulo H)</w:t>
            </w:r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</w:tbl>
    <w:p w:rsidR="00430864" w:rsidRPr="00430864" w:rsidRDefault="00430864" w:rsidP="00430864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7"/>
        <w:gridCol w:w="6702"/>
      </w:tblGrid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Disturbi specifici dell’apprendimento secondo le classificazioni e i criteri diagnostici internazionali: DSM-IV, ICD-10, ICF. (4 ore) [vedi libri di testo: 1];</w:t>
            </w:r>
          </w:p>
          <w:p w:rsidR="00430864" w:rsidRPr="00430864" w:rsidRDefault="00430864" w:rsidP="0043086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Modelli e valutazione del funzionamento individuale, della disabilità e del comportamento adattivo: WHODAS, ABI, VINELAND. (6 ore) [vedi libri di testo: 1; testi consigliati: 3, 4, 5 e 6];</w:t>
            </w:r>
          </w:p>
          <w:p w:rsidR="00430864" w:rsidRPr="00430864" w:rsidRDefault="00430864" w:rsidP="0043086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Valutazione delle</w:t>
            </w:r>
            <w:r w:rsidRPr="00430864">
              <w:rPr>
                <w:rFonts w:ascii="Times New Roman" w:hAnsi="Times New Roman" w:cs="Book Antiqua"/>
                <w:sz w:val="20"/>
                <w:szCs w:val="20"/>
              </w:rPr>
              <w:t xml:space="preserve"> difficoltà di apprendimento scolastico riconducibili a disturbi di memoria: TEMA. (6 ore) 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[vedi libri di testo: 1 e 2; testi consigliati: 1]</w:t>
            </w:r>
            <w:r w:rsidRPr="00430864">
              <w:rPr>
                <w:rFonts w:ascii="Times New Roman" w:hAnsi="Times New Roman" w:cs="Book Antiqua"/>
                <w:sz w:val="20"/>
                <w:szCs w:val="20"/>
              </w:rPr>
              <w:t>;</w:t>
            </w:r>
          </w:p>
          <w:p w:rsidR="00430864" w:rsidRPr="00430864" w:rsidRDefault="00430864" w:rsidP="0043086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Attenzione e metacognizione – Come migliorare l’attenzione della classe: (4 ore) [vedi libri di testo: 1; testi consigliati: 8];</w:t>
            </w:r>
          </w:p>
          <w:p w:rsidR="00430864" w:rsidRPr="00430864" w:rsidRDefault="00430864" w:rsidP="00430864">
            <w:pPr>
              <w:numPr>
                <w:ilvl w:val="0"/>
                <w:numId w:val="9"/>
              </w:numPr>
              <w:tabs>
                <w:tab w:val="num" w:pos="360"/>
                <w:tab w:val="num" w:pos="2160"/>
              </w:tabs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Modelli teorici e Psicotecnologie per il potenziamento delle capacità cognitive: 1) lettura in dislessici, 2) cognitivo-affettive nell’autismo e 3) memoria a breve termine in bambini di età scolare. (10 ore) [vedi libri di testo: 1, 3, 4, 5 e 6; testi consigliati: 1, 2 e 7].</w:t>
            </w:r>
          </w:p>
        </w:tc>
      </w:tr>
    </w:tbl>
    <w:p w:rsidR="00430864" w:rsidRPr="00430864" w:rsidRDefault="00430864" w:rsidP="00430864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7"/>
        <w:gridCol w:w="6702"/>
      </w:tblGrid>
      <w:tr w:rsidR="00430864" w:rsidRPr="00430864" w:rsidTr="00430864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4" w:rsidRPr="00430864" w:rsidRDefault="00430864" w:rsidP="0043086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 relative al programma istituzionale. Laboratori di lettura e approfondimento di testi.</w:t>
            </w:r>
          </w:p>
        </w:tc>
      </w:tr>
      <w:tr w:rsidR="00430864" w:rsidRPr="00430864" w:rsidTr="00430864">
        <w:tc>
          <w:tcPr>
            <w:tcW w:w="1196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Modalità di verifica</w:t>
            </w:r>
          </w:p>
        </w:tc>
        <w:tc>
          <w:tcPr>
            <w:tcW w:w="3804" w:type="pct"/>
          </w:tcPr>
          <w:p w:rsidR="00430864" w:rsidRPr="00430864" w:rsidRDefault="00430864" w:rsidP="0043086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sia scritto che orale. Durante l’esame verrà somministrato, a quanti si sono prenotati (vedi paragrafo seguente), 1 questionario di 16 domande a risposta multipla da compilare in 20 minuti. Quanti avranno superato la prova scritta </w:t>
            </w:r>
            <w:r w:rsidRPr="0043086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(almeno 9 risposte corrette)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sosterranno, nello stesso giorno della prova scritta, la prova orale sull’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intero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programma d’esame.</w:t>
            </w:r>
          </w:p>
          <w:p w:rsidR="00430864" w:rsidRPr="00430864" w:rsidRDefault="00430864" w:rsidP="00430864">
            <w:pPr>
              <w:rPr>
                <w:rFonts w:ascii="Times New Roman" w:hAnsi="Times New Roman"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430864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  <w:u w:val="single"/>
                </w:rPr>
                <w:t>10</w:t>
              </w:r>
            </w:smartTag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 xml:space="preserve"> giorni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prima dell’appello. </w:t>
            </w:r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 xml:space="preserve">La prenotazione deve essere fatta inviando un’email con nome e cognome, numero di matricola, nome dell’esame da sostenere </w:t>
            </w:r>
            <w:r w:rsidRPr="0043086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(Psicologia dell’apprendimento e della memoria – Modulo H)</w:t>
            </w:r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 xml:space="preserve">, corso di laurea </w:t>
            </w:r>
            <w:r w:rsidRPr="0043086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(Sc. della Formazione Primaria)</w:t>
            </w:r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 xml:space="preserve">, anno di corso del programma d’esame </w:t>
            </w:r>
            <w:r w:rsidRPr="0043086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(09-10)</w:t>
            </w:r>
            <w:r w:rsidRPr="00430864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, data dell’appello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La prenotazione va inviata all’indirizzo: </w:t>
            </w:r>
            <w:hyperlink r:id="rId7" w:history="1">
              <w:r w:rsidRPr="00430864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stefano.federici@unipg.it</w:t>
              </w:r>
            </w:hyperlink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</w:tbl>
    <w:p w:rsidR="00430864" w:rsidRPr="00430864" w:rsidRDefault="00430864" w:rsidP="00430864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9"/>
      </w:tblGrid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30864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 xml:space="preserve">1. Federici, S. 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(2009-2010). Linee guida del corso di Psicologia dell’apprendimento e della memoria – modulo H. disponibili online al sito: </w:t>
            </w:r>
            <w:hyperlink r:id="rId8" w:tooltip="www.unipg.it/~stefano.federici" w:history="1">
              <w:r w:rsidRPr="0043086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http://www.unipg.it/~stefano.federici</w:t>
              </w:r>
            </w:hyperlink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mallCaps/>
                <w:sz w:val="20"/>
                <w:szCs w:val="20"/>
                <w:lang w:val="de-DE"/>
              </w:rPr>
            </w:pPr>
            <w:r w:rsidRPr="00430864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 xml:space="preserve">2. Reynolds, C. R., &amp; Bigler, E. D. (2003).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Test TEMA - Memoria e apprendimento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. Trento: Erickson. </w:t>
            </w:r>
            <w:hyperlink r:id="rId9" w:history="1">
              <w:r w:rsidRPr="00430864">
                <w:rPr>
                  <w:rFonts w:ascii="Times New Roman" w:hAnsi="Times New Roman" w:cs="Book Antiqua"/>
                  <w:color w:val="0000FF"/>
                  <w:sz w:val="20"/>
                  <w:szCs w:val="20"/>
                  <w:u w:val="single"/>
                  <w:lang w:val="de-DE"/>
                </w:rPr>
                <w:t>http://www.erickson.it/erickson/product.do?categoryId=131&amp;id=132</w:t>
              </w:r>
            </w:hyperlink>
            <w:r w:rsidRPr="00430864">
              <w:rPr>
                <w:rFonts w:ascii="Times New Roman" w:hAnsi="Times New Roman" w:cs="Book Antiqua"/>
                <w:sz w:val="20"/>
                <w:szCs w:val="20"/>
                <w:lang w:val="de-DE"/>
              </w:rPr>
              <w:t xml:space="preserve"> 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864">
              <w:rPr>
                <w:rFonts w:ascii="Times New Roman" w:hAnsi="Times New Roman" w:cs="MS Sans Serif"/>
                <w:sz w:val="20"/>
                <w:szCs w:val="20"/>
              </w:rPr>
              <w:t xml:space="preserve">3. </w:t>
            </w:r>
            <w:r w:rsidRPr="00430864">
              <w:rPr>
                <w:rFonts w:ascii="Times New Roman" w:hAnsi="Times New Roman" w:cs="MS Sans Serif"/>
                <w:smallCaps/>
                <w:sz w:val="20"/>
                <w:szCs w:val="20"/>
              </w:rPr>
              <w:t>Cazzaniga, S., Re, A. M., Cornoldi, C., Poli, S., &amp; Tressoldi,</w:t>
            </w:r>
            <w:r w:rsidRPr="00430864">
              <w:rPr>
                <w:rFonts w:ascii="Times New Roman" w:hAnsi="Times New Roman" w:cs="MS Sans Serif"/>
                <w:sz w:val="20"/>
                <w:szCs w:val="20"/>
              </w:rPr>
              <w:t xml:space="preserve"> P. E. (2007). </w:t>
            </w:r>
            <w:r w:rsidRPr="00430864">
              <w:rPr>
                <w:rFonts w:ascii="Times New Roman" w:hAnsi="Times New Roman" w:cs="MS Sans Serif"/>
                <w:i/>
                <w:iCs/>
                <w:sz w:val="20"/>
                <w:szCs w:val="20"/>
              </w:rPr>
              <w:t xml:space="preserve">Dislessia e trattamento </w:t>
            </w:r>
            <w:r w:rsidRPr="00430864">
              <w:rPr>
                <w:rFonts w:ascii="Times New Roman" w:hAnsi="Times New Roman" w:cs="MS Sans Serif"/>
                <w:i/>
                <w:iCs/>
                <w:sz w:val="20"/>
                <w:szCs w:val="20"/>
              </w:rPr>
              <w:lastRenderedPageBreak/>
              <w:t>sub lessicale.</w:t>
            </w:r>
            <w:r w:rsidRPr="00430864">
              <w:rPr>
                <w:rFonts w:ascii="Times New Roman" w:hAnsi="Times New Roman" w:cs="MS Sans Serif"/>
                <w:iCs/>
                <w:sz w:val="20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Guida. Trento: Erickson. Scaricabile dal sito della Erickson all’indirizzo: </w:t>
            </w:r>
            <w:hyperlink r:id="rId10" w:history="1">
              <w:r w:rsidRPr="00430864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http://www.erickson.it/erickson/repository/pdf/PRODUCT_1249_MANUAL.pdf</w:t>
              </w:r>
            </w:hyperlink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4.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Pinelli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 xml:space="preserve">, M., &amp;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Santelli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, E.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(2005). </w:t>
            </w:r>
            <w:r w:rsidRPr="0043086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Autismo e competenze cognitivo-emotive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Guida. Trento: Erickson. Scaricabile dal sito della Erickson all’indirizzo: </w:t>
            </w:r>
            <w:hyperlink r:id="rId11" w:history="1">
              <w:r w:rsidRPr="0043086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http://www.erickson.it/erickson/repository/pdf/PRODUCT_910_MANUAL.pdf</w:t>
              </w:r>
            </w:hyperlink>
            <w:r w:rsidRPr="004308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5.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Ripamonti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 xml:space="preserve">,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R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.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(2003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).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Analisi visiva dei grafemi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Guida. Trento: Erickson. Scaricabile dal sito della Erickson all’indirizzo: </w:t>
            </w:r>
            <w:hyperlink r:id="rId12" w:history="1">
              <w:r w:rsidRPr="0043086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http://www.erickson.it/erickson/repository/pdf/PRODUCT_685_MANUAL.pdf</w:t>
              </w:r>
            </w:hyperlink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6. Rudland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, J. (2008).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Potenziare la memoria a breve termine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. Guida. Trento: Erickson. 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Scaricabile dal sito della Erickson all’indirizzo: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hyperlink r:id="rId13" w:history="1">
              <w:r w:rsidRPr="00430864">
                <w:rPr>
                  <w:rFonts w:ascii="Times New Roman" w:hAnsi="Times New Roman" w:cs="Book Antiqua"/>
                  <w:color w:val="0000FF"/>
                  <w:sz w:val="20"/>
                  <w:szCs w:val="20"/>
                  <w:u w:val="single"/>
                </w:rPr>
                <w:t>http://www.erickson.it/erickson/repository/pdf/PRODUCT_1789_MANUAL.pdf</w:t>
              </w:r>
            </w:hyperlink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Baddley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, A. (2001).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La memoria: come funziona e come usarla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. Bari: La Terza.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>2.</w:t>
            </w:r>
            <w:r w:rsidRPr="0043086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Baron-Cohen, S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. (1997).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L’autismo e la lettura della mente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. Roma: Astrolabio.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Federici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S. (2002). </w:t>
            </w:r>
            <w:r w:rsidRPr="0043086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Sessualità alterabili. Indagine sulle influenze socioambientali nello sviluppo della sessualità di persone con disabilità in Italia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>. Roma: Kappa.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30864">
              <w:rPr>
                <w:rFonts w:ascii="Times New Roman" w:hAnsi="Times New Roman"/>
                <w:bCs/>
                <w:iCs/>
                <w:smallCaps/>
                <w:sz w:val="20"/>
                <w:szCs w:val="20"/>
              </w:rPr>
              <w:t>Federici, S., Meloni, F., Mancini, A., Lauriola, M., &amp; Olivetti Belardinelli, M.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(2009). 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World Health Organization Disability Assessment Schedule II (WHODAS II): A contribution to the Italian validation. </w:t>
            </w:r>
            <w:r w:rsidRPr="0043086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GB"/>
              </w:rPr>
              <w:t>Disability and Rehabilitation</w:t>
            </w:r>
            <w:r w:rsidRPr="00430864">
              <w:rPr>
                <w:rFonts w:ascii="Times New Roman" w:hAnsi="Times New Roman"/>
                <w:bCs/>
                <w:iCs/>
                <w:sz w:val="20"/>
                <w:szCs w:val="20"/>
                <w:lang w:val="en-GB"/>
              </w:rPr>
              <w:t xml:space="preserve">, 31(7), 553-564. </w:t>
            </w:r>
            <w:hyperlink r:id="rId14" w:history="1">
              <w:r w:rsidRPr="00430864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http://dx.doi.org/10.1080/0963</w:t>
              </w:r>
              <w:r w:rsidRPr="00430864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8280802240498</w:t>
              </w:r>
            </w:hyperlink>
            <w:r w:rsidRPr="0043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Federici, S., Meloni, F., &amp; Lo Presti, A.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 (2009). Rassegna della letteratura internazionale sulla WHODAS II (Scheda per la Valutazione della Disabilità dell'Organizzazione Mondiale della Sanità).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Life Span and Disability/Ciclo Evolutivo e Disabilità</w:t>
            </w:r>
            <w:r w:rsidRPr="004308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12</w:t>
            </w:r>
            <w:r w:rsidRPr="004308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(1), 75-106. // </w:t>
            </w: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International Literature Review on WHODAS II (World Health Organization Disability Assessment Schedule II).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Life Span and Disability, 12</w:t>
            </w: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(1), 83-110. </w:t>
            </w:r>
            <w:hyperlink r:id="rId15" w:history="1">
              <w:r w:rsidRPr="0043086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http://www.lifespan.it/client/abstract/ENG132_life%20span%20edit+6%20engl.pdf</w:t>
              </w:r>
            </w:hyperlink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6.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  <w:lang w:val="en-GB"/>
              </w:rPr>
              <w:t>Federici</w:t>
            </w: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S., &amp;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  <w:lang w:val="en-GB"/>
              </w:rPr>
              <w:t>Meloni</w:t>
            </w: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F. (2010). A Note on the Theoretical Framework of World Health Organization Disability Assessment Schedule II (WHODAS II). </w:t>
            </w:r>
            <w:r w:rsidRPr="00430864">
              <w:rPr>
                <w:rFonts w:ascii="Times New Roman" w:hAnsi="Times New Roman"/>
                <w:i/>
                <w:sz w:val="20"/>
                <w:szCs w:val="20"/>
              </w:rPr>
              <w:t>Disability and Rehabilitation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, 32(8), 687–691. doi:10.3109/09638280903290012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  <w:lang w:val="en-GB"/>
              </w:rPr>
              <w:t xml:space="preserve">Howlin, P., Baron-Cohen, S., &amp; Hadwin, J. </w:t>
            </w:r>
            <w:r w:rsidRPr="004308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(1999).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Teoria della mente e autismo. Insegnare a comprendere gli stati psichici dell’altro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. Trento: Erickson.</w:t>
            </w:r>
          </w:p>
        </w:tc>
      </w:tr>
      <w:tr w:rsidR="00430864" w:rsidRPr="00430864" w:rsidTr="00430864">
        <w:tc>
          <w:tcPr>
            <w:tcW w:w="5000" w:type="pct"/>
          </w:tcPr>
          <w:p w:rsidR="00430864" w:rsidRPr="00430864" w:rsidRDefault="00430864" w:rsidP="004308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086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430864">
              <w:rPr>
                <w:rFonts w:ascii="Times New Roman" w:hAnsi="Times New Roman"/>
                <w:smallCaps/>
                <w:sz w:val="20"/>
                <w:szCs w:val="20"/>
              </w:rPr>
              <w:t>Marzocchi, G. M., Molin, A., &amp; Poli, S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 xml:space="preserve">. (2000). </w:t>
            </w:r>
            <w:r w:rsidRPr="00430864">
              <w:rPr>
                <w:rFonts w:ascii="Times New Roman" w:hAnsi="Times New Roman"/>
                <w:i/>
                <w:iCs/>
                <w:sz w:val="20"/>
                <w:szCs w:val="20"/>
              </w:rPr>
              <w:t>Attenzione e Metacognizione: Come migliorare la concentrazione della classe</w:t>
            </w:r>
            <w:r w:rsidRPr="00430864">
              <w:rPr>
                <w:rFonts w:ascii="Times New Roman" w:hAnsi="Times New Roman"/>
                <w:sz w:val="20"/>
                <w:szCs w:val="20"/>
              </w:rPr>
              <w:t>. Trento: Erickson.</w:t>
            </w:r>
          </w:p>
        </w:tc>
      </w:tr>
    </w:tbl>
    <w:p w:rsidR="00805BE3" w:rsidRPr="005363A7" w:rsidRDefault="00805BE3" w:rsidP="005363A7"/>
    <w:sectPr w:rsidR="00805BE3" w:rsidRPr="005363A7" w:rsidSect="003C480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8A" w:rsidRDefault="00286B8A">
      <w:r>
        <w:separator/>
      </w:r>
    </w:p>
  </w:endnote>
  <w:endnote w:type="continuationSeparator" w:id="0">
    <w:p w:rsidR="00286B8A" w:rsidRDefault="0028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Default="0071434C" w:rsidP="00386514">
          <w:pPr>
            <w:pStyle w:val="Footer"/>
            <w:jc w:val="right"/>
            <w:rPr>
              <w:rFonts w:ascii="Arial" w:hAnsi="Arial" w:cs="Arial"/>
              <w:shadow/>
              <w:color w:val="FFFFFF"/>
              <w:sz w:val="16"/>
            </w:rPr>
          </w:pPr>
          <w:r>
            <w:rPr>
              <w:rFonts w:ascii="Arial" w:hAnsi="Arial" w:cs="Arial"/>
              <w:shadow/>
              <w:color w:val="FFFFFF"/>
              <w:sz w:val="16"/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Default="0071434C" w:rsidP="00386514">
          <w:pPr>
            <w:pStyle w:val="Footer"/>
            <w:jc w:val="lef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Piazza G. Ermini, 1</w:t>
          </w:r>
        </w:p>
        <w:p w:rsidR="0071434C" w:rsidRDefault="0071434C" w:rsidP="00386514">
          <w:pPr>
            <w:pStyle w:val="Footer"/>
            <w:jc w:val="lef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Default="0071434C" w:rsidP="00386514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Prof. Stefano Federici</w:t>
          </w:r>
        </w:p>
        <w:p w:rsidR="0071434C" w:rsidRDefault="0071434C" w:rsidP="00386514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Psicologo</w:t>
          </w:r>
        </w:p>
        <w:p w:rsidR="0071434C" w:rsidRDefault="0071434C" w:rsidP="00386514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Professore associato di Psicologia generale</w:t>
          </w:r>
        </w:p>
        <w:p w:rsidR="0071434C" w:rsidRDefault="00C45B63" w:rsidP="00386514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hyperlink r:id="rId1" w:history="1">
            <w:r w:rsidR="0071434C">
              <w:rPr>
                <w:rStyle w:val="Hyperlink"/>
                <w:rFonts w:ascii="Arial" w:hAnsi="Arial" w:cs="Arial"/>
                <w:b/>
                <w:shadow/>
                <w:color w:val="993300"/>
                <w:sz w:val="14"/>
              </w:rPr>
              <w:t>stefano.federici@unipg.it</w:t>
            </w:r>
          </w:hyperlink>
        </w:p>
        <w:p w:rsidR="0071434C" w:rsidRDefault="0071434C" w:rsidP="00386514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>
            <w:rPr>
              <w:rFonts w:ascii="Arial" w:hAnsi="Arial" w:cs="Arial"/>
              <w:b/>
              <w:shadow/>
              <w:color w:val="993300"/>
              <w:sz w:val="14"/>
            </w:rPr>
            <w:t>+39 347 3769497</w:t>
          </w:r>
        </w:p>
      </w:tc>
    </w:tr>
  </w:tbl>
  <w:p w:rsidR="00C67DF2" w:rsidRPr="009A460A" w:rsidRDefault="00C45B63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0E6E12">
      <w:rPr>
        <w:rStyle w:val="PageNumber"/>
        <w:noProof/>
        <w:color w:val="993300"/>
        <w:sz w:val="16"/>
      </w:rPr>
      <w:t>2</w:t>
    </w:r>
    <w:r w:rsidRPr="009A460A">
      <w:rPr>
        <w:rStyle w:val="PageNumber"/>
        <w:color w:val="9933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B97DF9" w:rsidRDefault="009A460A">
          <w:pPr>
            <w:pStyle w:val="Footer"/>
            <w:jc w:val="right"/>
            <w:rPr>
              <w:rFonts w:ascii="Arial" w:hAnsi="Arial" w:cs="Arial"/>
              <w:shadow/>
              <w:color w:val="FFFFFF"/>
              <w:sz w:val="16"/>
            </w:rPr>
          </w:pPr>
          <w:r w:rsidRPr="00B97DF9">
            <w:rPr>
              <w:rFonts w:ascii="Arial" w:hAnsi="Arial" w:cs="Arial"/>
              <w:shadow/>
              <w:color w:val="FFFFFF"/>
              <w:sz w:val="16"/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B97DF9" w:rsidRDefault="009A460A">
          <w:pPr>
            <w:pStyle w:val="Footer"/>
            <w:jc w:val="lef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Piazza G. Ermini, 1</w:t>
          </w:r>
        </w:p>
        <w:p w:rsidR="009A460A" w:rsidRPr="00B97DF9" w:rsidRDefault="009A460A">
          <w:pPr>
            <w:pStyle w:val="Footer"/>
            <w:jc w:val="lef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B97DF9" w:rsidRDefault="009A460A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Prof. Stefano Federici</w:t>
          </w:r>
        </w:p>
        <w:p w:rsidR="009A460A" w:rsidRPr="00B97DF9" w:rsidRDefault="009A460A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Psicologo</w:t>
          </w:r>
        </w:p>
        <w:p w:rsidR="009A460A" w:rsidRPr="00B97DF9" w:rsidRDefault="009A460A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Professore associato di Psicologia generale</w:t>
          </w:r>
        </w:p>
        <w:p w:rsidR="009A460A" w:rsidRPr="00B97DF9" w:rsidRDefault="00C45B63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hyperlink r:id="rId1" w:history="1">
            <w:r w:rsidR="009A460A" w:rsidRPr="00B97DF9">
              <w:rPr>
                <w:rStyle w:val="Hyperlink"/>
                <w:rFonts w:ascii="Arial" w:hAnsi="Arial" w:cs="Arial"/>
                <w:b/>
                <w:shadow/>
                <w:color w:val="993300"/>
                <w:sz w:val="14"/>
              </w:rPr>
              <w:t>stefano.federici@unipg.it</w:t>
            </w:r>
          </w:hyperlink>
        </w:p>
        <w:p w:rsidR="009A460A" w:rsidRPr="00B97DF9" w:rsidRDefault="009A460A">
          <w:pPr>
            <w:pStyle w:val="Footer"/>
            <w:jc w:val="right"/>
            <w:rPr>
              <w:rFonts w:ascii="Arial" w:hAnsi="Arial" w:cs="Arial"/>
              <w:b/>
              <w:shadow/>
              <w:color w:val="993300"/>
              <w:sz w:val="14"/>
            </w:rPr>
          </w:pPr>
          <w:r w:rsidRPr="00B97DF9">
            <w:rPr>
              <w:rFonts w:ascii="Arial" w:hAnsi="Arial" w:cs="Arial"/>
              <w:b/>
              <w:shadow/>
              <w:color w:val="993300"/>
              <w:sz w:val="14"/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8A" w:rsidRDefault="00286B8A">
      <w:r>
        <w:separator/>
      </w:r>
    </w:p>
  </w:footnote>
  <w:footnote w:type="continuationSeparator" w:id="0">
    <w:p w:rsidR="00286B8A" w:rsidRDefault="0028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9" w:rsidRDefault="00C45B63">
    <w:pPr>
      <w:pStyle w:val="Header"/>
    </w:pPr>
    <w:r>
      <w:rPr>
        <w:noProof/>
      </w:rPr>
      <w:pict>
        <v:group id="_x0000_s2062" style="position:absolute;left:0;text-align:left;margin-left:-81pt;margin-top:84pt;width:69.25pt;height:129pt;z-index:-251658240;mso-position-vertical-relative:page" coordorigin="404,1440" coordsize="1385,2580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404;top:2580;width:1385;height:1440" filled="f" stroked="f">
            <v:textbox style="mso-next-textbox:#_x0000_s2063">
              <w:txbxContent>
                <w:p w:rsidR="009F21C8" w:rsidRPr="002154D7" w:rsidRDefault="009F21C8" w:rsidP="009F21C8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  <w:t>Università degli studi di Perugia</w:t>
                  </w:r>
                </w:p>
                <w:p w:rsidR="009F21C8" w:rsidRPr="002154D7" w:rsidRDefault="009F21C8" w:rsidP="009F21C8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</w:rPr>
                  </w:pPr>
                </w:p>
                <w:p w:rsidR="009F21C8" w:rsidRPr="002154D7" w:rsidRDefault="009F21C8" w:rsidP="009F21C8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  <w:t>Stefano Federici</w:t>
                  </w:r>
                </w:p>
                <w:p w:rsidR="009F21C8" w:rsidRPr="002154D7" w:rsidRDefault="009F21C8" w:rsidP="009F21C8">
                  <w:pPr>
                    <w:jc w:val="center"/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  <w:t>Psicologo</w:t>
                  </w:r>
                </w:p>
                <w:p w:rsidR="009F21C8" w:rsidRPr="002154D7" w:rsidRDefault="009F21C8" w:rsidP="009F21C8">
                  <w:pPr>
                    <w:jc w:val="center"/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  <w:t>Professore di Psicologia generale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537;top:1440;width:1134;height:1141" o:allowoverlap="f">
            <v:imagedata r:id="rId1" o:title="Unipg_logo Senape"/>
          </v:shape>
          <w10:wrap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4A" w:rsidRDefault="00C45B63">
    <w:pPr>
      <w:pStyle w:val="Header"/>
    </w:pPr>
    <w:r>
      <w:rPr>
        <w:noProof/>
      </w:rPr>
      <w:pict>
        <v:group id="_x0000_s2056" style="position:absolute;left:0;text-align:left;margin-left:-81pt;margin-top:1in;width:69.25pt;height:129pt;z-index:-251659264;mso-position-vertical-relative:page" coordorigin="404,1440" coordsize="1385,258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404;top:2580;width:1385;height:1440" filled="f" stroked="f">
            <v:textbox style="mso-next-textbox:#_x0000_s2057">
              <w:txbxContent>
                <w:p w:rsidR="00BE3FC9" w:rsidRPr="002154D7" w:rsidRDefault="00BE3FC9" w:rsidP="00BE3FC9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  <w:t>Università degli studi di Perugia</w:t>
                  </w:r>
                </w:p>
                <w:p w:rsidR="00BE3FC9" w:rsidRPr="002154D7" w:rsidRDefault="00BE3FC9" w:rsidP="00BE3FC9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</w:rPr>
                  </w:pPr>
                </w:p>
                <w:p w:rsidR="00BE3FC9" w:rsidRPr="002154D7" w:rsidRDefault="00BE3FC9" w:rsidP="00BE3FC9">
                  <w:pPr>
                    <w:jc w:val="center"/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smallCaps/>
                      <w:color w:val="993300"/>
                      <w:sz w:val="12"/>
                      <w:u w:val="thick" w:color="FFFF00"/>
                    </w:rPr>
                    <w:t>Stefano Federici</w:t>
                  </w:r>
                </w:p>
                <w:p w:rsidR="00BE3FC9" w:rsidRPr="002154D7" w:rsidRDefault="00363070" w:rsidP="00BE3FC9">
                  <w:pPr>
                    <w:jc w:val="center"/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  <w:t>Psicologo</w:t>
                  </w:r>
                </w:p>
                <w:p w:rsidR="00BE3FC9" w:rsidRPr="002154D7" w:rsidRDefault="00363070" w:rsidP="00BE3FC9">
                  <w:pPr>
                    <w:jc w:val="center"/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</w:pPr>
                  <w:r w:rsidRPr="002154D7"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  <w:t xml:space="preserve">Professore </w:t>
                  </w:r>
                  <w:r w:rsidR="00BE3FC9" w:rsidRPr="002154D7">
                    <w:rPr>
                      <w:rFonts w:ascii="Arial" w:hAnsi="Arial" w:cs="Arial"/>
                      <w:color w:val="993300"/>
                      <w:sz w:val="12"/>
                      <w:u w:val="thick" w:color="FFFF00"/>
                    </w:rPr>
                    <w:t>di Psicologia generale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537;top:1440;width:1134;height:1141" o:allowoverlap="f">
            <v:imagedata r:id="rId1" o:title="Unipg_logo Senape"/>
          </v:shape>
          <w10:wrap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bordersDoNotSurroundHeader/>
  <w:bordersDoNotSurroundFooter/>
  <w:stylePaneFormatFilter w:val="3F01"/>
  <w:defaultTabStop w:val="708"/>
  <w:hyphenationZone w:val="283"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6F88"/>
    <w:rsid w:val="000E1439"/>
    <w:rsid w:val="000E3BA2"/>
    <w:rsid w:val="000E45A7"/>
    <w:rsid w:val="000E4F1A"/>
    <w:rsid w:val="000E5DAB"/>
    <w:rsid w:val="000E634C"/>
    <w:rsid w:val="000E6E12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2398"/>
    <w:rsid w:val="001F3FCC"/>
    <w:rsid w:val="00200C08"/>
    <w:rsid w:val="00202E5D"/>
    <w:rsid w:val="00203D3D"/>
    <w:rsid w:val="00206CFD"/>
    <w:rsid w:val="00207B0C"/>
    <w:rsid w:val="00212F74"/>
    <w:rsid w:val="00214F3E"/>
    <w:rsid w:val="002154D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B8A"/>
    <w:rsid w:val="00286C40"/>
    <w:rsid w:val="00286D8A"/>
    <w:rsid w:val="00287164"/>
    <w:rsid w:val="0028716F"/>
    <w:rsid w:val="00290C75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5B95"/>
    <w:rsid w:val="002B6321"/>
    <w:rsid w:val="002B7BE9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864"/>
    <w:rsid w:val="00430CBD"/>
    <w:rsid w:val="00431526"/>
    <w:rsid w:val="004338EC"/>
    <w:rsid w:val="00434EDB"/>
    <w:rsid w:val="0043787A"/>
    <w:rsid w:val="0044341D"/>
    <w:rsid w:val="00447E16"/>
    <w:rsid w:val="00454400"/>
    <w:rsid w:val="0045450A"/>
    <w:rsid w:val="00454A99"/>
    <w:rsid w:val="004616FF"/>
    <w:rsid w:val="004661F4"/>
    <w:rsid w:val="00466A31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46BB"/>
    <w:rsid w:val="00554904"/>
    <w:rsid w:val="0056123F"/>
    <w:rsid w:val="00561248"/>
    <w:rsid w:val="00561C23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71AFE"/>
    <w:rsid w:val="0067212B"/>
    <w:rsid w:val="006804B0"/>
    <w:rsid w:val="00680B5F"/>
    <w:rsid w:val="0068100C"/>
    <w:rsid w:val="00681A62"/>
    <w:rsid w:val="006820F3"/>
    <w:rsid w:val="00686648"/>
    <w:rsid w:val="006A1FD2"/>
    <w:rsid w:val="006A2AAB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B262D"/>
    <w:rsid w:val="007B45B7"/>
    <w:rsid w:val="007C0573"/>
    <w:rsid w:val="007C0839"/>
    <w:rsid w:val="007C1A78"/>
    <w:rsid w:val="007C2E80"/>
    <w:rsid w:val="007C43B9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569B"/>
    <w:rsid w:val="008C5764"/>
    <w:rsid w:val="008C69AE"/>
    <w:rsid w:val="008C71A6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D0BB2"/>
    <w:rsid w:val="00AD6614"/>
    <w:rsid w:val="00AE0476"/>
    <w:rsid w:val="00AE0502"/>
    <w:rsid w:val="00AE2089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6C61"/>
    <w:rsid w:val="00B570AD"/>
    <w:rsid w:val="00B614F9"/>
    <w:rsid w:val="00B62E5F"/>
    <w:rsid w:val="00B662FA"/>
    <w:rsid w:val="00B72F70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6FCB"/>
    <w:rsid w:val="00BD75FD"/>
    <w:rsid w:val="00BE2B94"/>
    <w:rsid w:val="00BE3CD6"/>
    <w:rsid w:val="00BE3FC9"/>
    <w:rsid w:val="00BE63C0"/>
    <w:rsid w:val="00BE67A1"/>
    <w:rsid w:val="00BF221D"/>
    <w:rsid w:val="00BF3B28"/>
    <w:rsid w:val="00BF4334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5B63"/>
    <w:rsid w:val="00C472C2"/>
    <w:rsid w:val="00C475AF"/>
    <w:rsid w:val="00C530A0"/>
    <w:rsid w:val="00C53C44"/>
    <w:rsid w:val="00C54983"/>
    <w:rsid w:val="00C55294"/>
    <w:rsid w:val="00C559E4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3513"/>
    <w:rsid w:val="00D740CA"/>
    <w:rsid w:val="00D749FC"/>
    <w:rsid w:val="00D75C7D"/>
    <w:rsid w:val="00D75EF9"/>
    <w:rsid w:val="00D82C8A"/>
    <w:rsid w:val="00D9078A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FA"/>
    <w:rsid w:val="00DB17C9"/>
    <w:rsid w:val="00DB6080"/>
    <w:rsid w:val="00DB6BC7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76AE"/>
    <w:rsid w:val="00F21BBB"/>
    <w:rsid w:val="00F2280E"/>
    <w:rsid w:val="00F255D6"/>
    <w:rsid w:val="00F31577"/>
    <w:rsid w:val="00F31F30"/>
    <w:rsid w:val="00F334F6"/>
    <w:rsid w:val="00F34E8A"/>
    <w:rsid w:val="00F36EED"/>
    <w:rsid w:val="00F40410"/>
    <w:rsid w:val="00F40718"/>
    <w:rsid w:val="00F43CC5"/>
    <w:rsid w:val="00F44A88"/>
    <w:rsid w:val="00F44A9B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g.it/~stefano.federici" TargetMode="External"/><Relationship Id="rId13" Type="http://schemas.openxmlformats.org/officeDocument/2006/relationships/hyperlink" Target="http://www.erickson.it/erickson/repository/pdf/PRODUCT_1789_MANUAL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efano.federici@unipg.it" TargetMode="External"/><Relationship Id="rId12" Type="http://schemas.openxmlformats.org/officeDocument/2006/relationships/hyperlink" Target="http://www.erickson.it/erickson/repository/pdf/PRODUCT_685_MANUAL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ickson.it/erickson/repository/pdf/PRODUCT_910_MANU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fespan.it/client/abstract/ENG132_life%20span%20edit+6%20engl.pdf" TargetMode="External"/><Relationship Id="rId10" Type="http://schemas.openxmlformats.org/officeDocument/2006/relationships/hyperlink" Target="http://www.erickson.it/erickson/repository/pdf/PRODUCT_1249_MANUAL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rickson.it/erickson/product.do?categoryId=131&amp;id=132" TargetMode="External"/><Relationship Id="rId14" Type="http://schemas.openxmlformats.org/officeDocument/2006/relationships/hyperlink" Target="http://dx.doi.org/10.1080/096382808022404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6731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Federici</dc:creator>
  <cp:keywords/>
  <dc:description/>
  <cp:lastModifiedBy>Stefano Federici</cp:lastModifiedBy>
  <cp:revision>3</cp:revision>
  <cp:lastPrinted>2009-05-23T12:12:00Z</cp:lastPrinted>
  <dcterms:created xsi:type="dcterms:W3CDTF">2010-03-20T16:31:00Z</dcterms:created>
  <dcterms:modified xsi:type="dcterms:W3CDTF">2010-03-20T16:32:00Z</dcterms:modified>
</cp:coreProperties>
</file>