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C51A8A">
      <w:pPr>
        <w:pStyle w:val="Title"/>
      </w:pPr>
      <w:r>
        <w:t>2014-2015</w:t>
      </w: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 xml:space="preserve">SCIENZE </w:t>
            </w:r>
            <w:r>
              <w:rPr>
                <w:b/>
                <w:sz w:val="24"/>
                <w:u w:val="single"/>
              </w:rPr>
              <w:t xml:space="preserve">E TECNICHE </w:t>
            </w:r>
            <w:r w:rsidR="00383AF0">
              <w:rPr>
                <w:b/>
                <w:sz w:val="24"/>
                <w:u w:val="single"/>
              </w:rPr>
              <w:t xml:space="preserve">PSICOLOGICHE </w:t>
            </w:r>
            <w:r>
              <w:rPr>
                <w:b/>
                <w:sz w:val="24"/>
                <w:u w:val="single"/>
              </w:rPr>
              <w:t>DEI PROCESSI MENTALI</w:t>
            </w:r>
            <w:r w:rsidR="00981784">
              <w:rPr>
                <w:b/>
                <w:sz w:val="24"/>
                <w:u w:val="single"/>
              </w:rPr>
              <w:t xml:space="preserve"> (L-24)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  <w:bookmarkStart w:id="0" w:name="_GoBack"/>
            <w:bookmarkEnd w:id="0"/>
          </w:p>
        </w:tc>
        <w:tc>
          <w:tcPr>
            <w:tcW w:w="7440" w:type="dxa"/>
          </w:tcPr>
          <w:p w:rsidR="004C2D90" w:rsidRDefault="004C2D90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3A15E6">
              <w:rPr>
                <w:bCs/>
                <w:iCs/>
              </w:rPr>
              <w:t>Il problema di fondo della psicologia. Di che cosa si occupa la psicologia. Elementi di storia della psicologia moderna</w:t>
            </w:r>
            <w:r w:rsidR="00A963E2">
              <w:rPr>
                <w:bCs/>
                <w:iCs/>
              </w:rPr>
              <w:t>.</w:t>
            </w:r>
            <w:r w:rsidR="003A15E6">
              <w:rPr>
                <w:bCs/>
                <w:iCs/>
              </w:rPr>
              <w:t xml:space="preserve"> La psicologia come s</w:t>
            </w:r>
            <w:r w:rsidR="00AE0A74">
              <w:rPr>
                <w:bCs/>
                <w:iCs/>
              </w:rPr>
              <w:t>c</w:t>
            </w:r>
            <w:r w:rsidR="003A15E6">
              <w:rPr>
                <w:bCs/>
                <w:iCs/>
              </w:rPr>
              <w:t>ienza.</w:t>
            </w:r>
            <w:r w:rsidR="002D5939">
              <w:rPr>
                <w:bCs/>
                <w:iCs/>
              </w:rPr>
              <w:t xml:space="preserve"> M</w:t>
            </w:r>
            <w:r w:rsidR="002D5939" w:rsidRPr="002D5939">
              <w:rPr>
                <w:bCs/>
                <w:iCs/>
              </w:rPr>
              <w:t>etodi e misurazioni statistiche</w:t>
            </w:r>
            <w:r w:rsidR="00A963E2">
              <w:rPr>
                <w:bCs/>
                <w:iCs/>
              </w:rPr>
              <w:t xml:space="preserve"> 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</w:t>
            </w:r>
            <w:r w:rsidR="00AE0A74">
              <w:rPr>
                <w:bCs/>
                <w:iCs/>
              </w:rPr>
              <w:t xml:space="preserve">1, </w:t>
            </w:r>
            <w:r w:rsidR="00A963E2">
              <w:rPr>
                <w:bCs/>
                <w:iCs/>
              </w:rPr>
              <w:t xml:space="preserve">2 e 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AE0A74">
              <w:rPr>
                <w:bCs/>
                <w:iCs/>
              </w:rPr>
              <w:t xml:space="preserve"> </w:t>
            </w:r>
            <w:r w:rsidR="004609B9">
              <w:rPr>
                <w:bCs/>
                <w:iCs/>
              </w:rPr>
              <w:t>1</w:t>
            </w:r>
            <w:r w:rsidR="003E2F8A">
              <w:rPr>
                <w:bCs/>
                <w:iCs/>
              </w:rPr>
              <w:t>3</w:t>
            </w:r>
            <w:r w:rsidR="00AE0A74">
              <w:rPr>
                <w:bCs/>
                <w:iCs/>
              </w:rPr>
              <w:t xml:space="preserve"> e </w:t>
            </w:r>
            <w:r w:rsidR="004609B9">
              <w:rPr>
                <w:bCs/>
                <w:iCs/>
              </w:rPr>
              <w:t>1</w:t>
            </w:r>
            <w:r w:rsidR="003E2F8A">
              <w:rPr>
                <w:bCs/>
                <w:iCs/>
              </w:rPr>
              <w:t>8</w:t>
            </w:r>
            <w:r w:rsidR="00A963E2">
              <w:rPr>
                <w:bCs/>
                <w:iCs/>
              </w:rPr>
              <w:t>]</w:t>
            </w:r>
          </w:p>
          <w:p w:rsidR="007A2A62" w:rsidRPr="0048651B" w:rsidRDefault="005F03FB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="004C2D90" w:rsidRPr="0048651B">
              <w:rPr>
                <w:bCs/>
                <w:iCs/>
              </w:rPr>
              <w:t xml:space="preserve">: </w:t>
            </w:r>
            <w:r w:rsidR="005D03F3">
              <w:rPr>
                <w:bCs/>
                <w:iCs/>
              </w:rPr>
              <w:t>Come funziona la mente; E</w:t>
            </w:r>
            <w:r w:rsidR="0048651B" w:rsidRPr="0048651B">
              <w:rPr>
                <w:bCs/>
                <w:iCs/>
              </w:rPr>
              <w:t>videnze di meccanismi inn</w:t>
            </w:r>
            <w:r w:rsidR="005D03F3">
              <w:rPr>
                <w:bCs/>
                <w:iCs/>
              </w:rPr>
              <w:t>ati e specifici di conoscenza; L</w:t>
            </w:r>
            <w:r w:rsidR="0048651B" w:rsidRPr="0048651B">
              <w:rPr>
                <w:bCs/>
                <w:iCs/>
              </w:rPr>
              <w:t>’evoluzione della mente;</w:t>
            </w:r>
            <w:r w:rsidR="005D03F3">
              <w:rPr>
                <w:bCs/>
                <w:iCs/>
              </w:rPr>
              <w:t xml:space="preserve"> </w:t>
            </w:r>
            <w:r w:rsidR="002D5939">
              <w:rPr>
                <w:bCs/>
                <w:iCs/>
              </w:rPr>
              <w:t>Tappe fondamentali nella storia del pensiero evoluzionistico</w:t>
            </w:r>
            <w:r w:rsidRPr="0048651B">
              <w:rPr>
                <w:bCs/>
                <w:iCs/>
              </w:rPr>
              <w:t>.</w:t>
            </w:r>
            <w:r w:rsidR="002D5939">
              <w:rPr>
                <w:bCs/>
                <w:iCs/>
              </w:rPr>
              <w:t xml:space="preserve"> I problemi della sopravvivenza umana. Strategie maschili e femminili nella scelta del partner</w:t>
            </w:r>
            <w:r w:rsidR="00A963E2" w:rsidRPr="0048651B">
              <w:rPr>
                <w:bCs/>
                <w:iCs/>
              </w:rPr>
              <w:t xml:space="preserve"> [Vedi </w:t>
            </w:r>
            <w:r w:rsidR="00A963E2" w:rsidRPr="0048651B">
              <w:rPr>
                <w:bCs/>
                <w:i/>
                <w:iCs/>
              </w:rPr>
              <w:t>testi obbligatori</w:t>
            </w:r>
            <w:r w:rsidR="00A963E2" w:rsidRPr="0048651B">
              <w:rPr>
                <w:bCs/>
                <w:iCs/>
              </w:rPr>
              <w:t xml:space="preserve">: 3 e 4; </w:t>
            </w:r>
            <w:r w:rsidR="00303982" w:rsidRPr="0048651B">
              <w:rPr>
                <w:bCs/>
                <w:i/>
                <w:iCs/>
              </w:rPr>
              <w:t>consigliati</w:t>
            </w:r>
            <w:r w:rsidR="00A963E2" w:rsidRPr="0048651B">
              <w:rPr>
                <w:bCs/>
                <w:iCs/>
              </w:rPr>
              <w:t>:</w:t>
            </w:r>
            <w:r w:rsidR="004D4396">
              <w:rPr>
                <w:bCs/>
                <w:iCs/>
              </w:rPr>
              <w:t xml:space="preserve"> </w:t>
            </w:r>
            <w:r w:rsidR="00931F99">
              <w:rPr>
                <w:bCs/>
                <w:iCs/>
              </w:rPr>
              <w:t>2-5, 8</w:t>
            </w:r>
            <w:r w:rsidR="007E5145" w:rsidRPr="0048651B">
              <w:rPr>
                <w:bCs/>
                <w:iCs/>
              </w:rPr>
              <w:t>,</w:t>
            </w:r>
            <w:r w:rsidR="00931F99">
              <w:rPr>
                <w:bCs/>
                <w:iCs/>
              </w:rPr>
              <w:t xml:space="preserve"> 10</w:t>
            </w:r>
            <w:r w:rsidR="00B62830">
              <w:rPr>
                <w:bCs/>
                <w:iCs/>
              </w:rPr>
              <w:t>-</w:t>
            </w:r>
            <w:r w:rsidR="003E2F8A">
              <w:rPr>
                <w:bCs/>
                <w:iCs/>
              </w:rPr>
              <w:t>12, 16</w:t>
            </w:r>
            <w:r w:rsidR="004D4396">
              <w:rPr>
                <w:bCs/>
                <w:iCs/>
              </w:rPr>
              <w:t>-</w:t>
            </w:r>
            <w:r w:rsidR="007E5145" w:rsidRPr="0048651B">
              <w:rPr>
                <w:bCs/>
                <w:iCs/>
              </w:rPr>
              <w:t>1</w:t>
            </w:r>
            <w:r w:rsidR="003E2F8A">
              <w:rPr>
                <w:bCs/>
                <w:iCs/>
              </w:rPr>
              <w:t>8</w:t>
            </w:r>
            <w:r w:rsidR="00A963E2" w:rsidRPr="0048651B">
              <w:rPr>
                <w:bCs/>
                <w:iCs/>
              </w:rPr>
              <w:t>]</w:t>
            </w:r>
          </w:p>
          <w:p w:rsidR="005F03FB" w:rsidRPr="00BC179B" w:rsidRDefault="005F03FB" w:rsidP="00AF517B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</w:t>
            </w:r>
            <w:r w:rsidR="00AF517B" w:rsidRPr="00AF517B">
              <w:rPr>
                <w:bCs/>
                <w:iCs/>
              </w:rPr>
              <w:t>Fondamenti anatomo-fisiologici della mente</w:t>
            </w:r>
            <w:r w:rsidR="005D03F3">
              <w:rPr>
                <w:bCs/>
                <w:iCs/>
              </w:rPr>
              <w:t>; L</w:t>
            </w:r>
            <w:r w:rsidRPr="005F03FB">
              <w:rPr>
                <w:bCs/>
                <w:iCs/>
              </w:rPr>
              <w:t>e rappresentazioni nervose dei processi mentali</w:t>
            </w:r>
            <w:r w:rsidR="001A03FF">
              <w:rPr>
                <w:bCs/>
                <w:iCs/>
              </w:rPr>
              <w:t xml:space="preserve">; dalle cellule </w:t>
            </w:r>
            <w:r w:rsidR="005D03F3">
              <w:rPr>
                <w:bCs/>
                <w:iCs/>
              </w:rPr>
              <w:t>nervose ai processi cognitivi; I</w:t>
            </w:r>
            <w:r w:rsidR="001A03FF">
              <w:rPr>
                <w:bCs/>
                <w:iCs/>
              </w:rPr>
              <w:t xml:space="preserve"> metodi di studio delle </w:t>
            </w:r>
            <w:r w:rsidR="005D03F3">
              <w:rPr>
                <w:bCs/>
                <w:iCs/>
              </w:rPr>
              <w:t>neuroscienze; L</w:t>
            </w:r>
            <w:r w:rsidR="001A03FF">
              <w:rPr>
                <w:bCs/>
                <w:iCs/>
              </w:rPr>
              <w:t>a rappresenta</w:t>
            </w:r>
            <w:r w:rsidR="00C37949">
              <w:rPr>
                <w:bCs/>
                <w:iCs/>
              </w:rPr>
              <w:t>zi</w:t>
            </w:r>
            <w:r w:rsidR="005D03F3">
              <w:rPr>
                <w:bCs/>
                <w:iCs/>
              </w:rPr>
              <w:t>one dello spazio e le agnosie; La lateralizzazione degli emisferi</w:t>
            </w:r>
            <w:r w:rsidR="002F7181">
              <w:rPr>
                <w:bCs/>
                <w:iCs/>
              </w:rPr>
              <w:t>.</w:t>
            </w:r>
            <w:r w:rsidR="00A963E2">
              <w:rPr>
                <w:bCs/>
                <w:iCs/>
              </w:rPr>
              <w:t xml:space="preserve"> 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</w:t>
            </w:r>
            <w:r w:rsidR="00AF517B">
              <w:rPr>
                <w:bCs/>
                <w:iCs/>
              </w:rPr>
              <w:t xml:space="preserve">1, </w:t>
            </w:r>
            <w:r w:rsidR="00A963E2">
              <w:rPr>
                <w:bCs/>
                <w:iCs/>
              </w:rPr>
              <w:t xml:space="preserve">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4D4396">
              <w:rPr>
                <w:bCs/>
                <w:iCs/>
              </w:rPr>
              <w:t xml:space="preserve"> </w:t>
            </w:r>
            <w:r w:rsidR="003E2F8A">
              <w:rPr>
                <w:bCs/>
                <w:iCs/>
              </w:rPr>
              <w:t>8-11, 14-16, 19-20</w:t>
            </w:r>
            <w:r w:rsidR="00A963E2">
              <w:rPr>
                <w:bCs/>
                <w:iCs/>
              </w:rPr>
              <w:t>]</w:t>
            </w:r>
          </w:p>
          <w:p w:rsidR="0062237A" w:rsidRPr="00BC179B" w:rsidRDefault="003F3444" w:rsidP="003E2F8A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 xml:space="preserve">; L’intelligenza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 w:rsidR="003E2F8A">
              <w:rPr>
                <w:bCs/>
                <w:iCs/>
              </w:rPr>
              <w:t>: 5-12</w:t>
            </w:r>
            <w:r w:rsidR="00357FE8">
              <w:rPr>
                <w:bCs/>
                <w:iCs/>
              </w:rPr>
              <w:t>, 1</w:t>
            </w:r>
            <w:r w:rsidR="003E2F8A">
              <w:rPr>
                <w:bCs/>
                <w:iCs/>
              </w:rPr>
              <w:t>7, 18-20</w:t>
            </w:r>
            <w:r>
              <w:rPr>
                <w:bCs/>
                <w:iCs/>
              </w:rPr>
              <w:t>]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:rsidTr="001E7652">
        <w:tc>
          <w:tcPr>
            <w:tcW w:w="2338" w:type="dxa"/>
          </w:tcPr>
          <w:p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D12359" w:rsidRPr="00C47C03" w:rsidRDefault="00C47C03" w:rsidP="003C4608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  <w:r w:rsidR="003C4608">
              <w:t xml:space="preserve"> </w:t>
            </w:r>
            <w:r w:rsidR="00D12359">
              <w:t xml:space="preserve">Date e temi delle sperimentazione verranno di volta in volta comunicati sul sito web </w:t>
            </w:r>
            <w:hyperlink r:id="rId7" w:history="1">
              <w:r w:rsidR="00D12359" w:rsidRPr="00D56148">
                <w:rPr>
                  <w:rStyle w:val="Hyperlink"/>
                </w:rPr>
                <w:t>www.cognitivelab.it</w:t>
              </w:r>
            </w:hyperlink>
            <w:r w:rsidR="00D12359">
              <w:t xml:space="preserve"> </w:t>
            </w:r>
          </w:p>
        </w:tc>
      </w:tr>
    </w:tbl>
    <w:p w:rsidR="00C47C03" w:rsidRDefault="00C47C03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6805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6805D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</w:t>
            </w:r>
          </w:p>
        </w:tc>
      </w:tr>
      <w:tr w:rsidR="006805D2" w:rsidRPr="00942B92" w:rsidTr="006805D2">
        <w:tc>
          <w:tcPr>
            <w:tcW w:w="2338" w:type="dxa"/>
          </w:tcPr>
          <w:p w:rsidR="006805D2" w:rsidRPr="00B76A48" w:rsidRDefault="006805D2" w:rsidP="006805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Frequenza</w:t>
            </w:r>
          </w:p>
        </w:tc>
        <w:tc>
          <w:tcPr>
            <w:tcW w:w="7440" w:type="dxa"/>
          </w:tcPr>
          <w:p w:rsidR="006805D2" w:rsidRPr="00342C44" w:rsidRDefault="006805D2" w:rsidP="003C46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Obbligatoria.</w:t>
            </w:r>
            <w:r w:rsidR="003C4608">
              <w:rPr>
                <w:bCs/>
                <w:iCs/>
              </w:rPr>
              <w:t xml:space="preserve"> </w:t>
            </w:r>
            <w:r w:rsidRPr="00342C44">
              <w:rPr>
                <w:bCs/>
                <w:iCs/>
              </w:rPr>
              <w:t xml:space="preserve">La frequenza è obbligatoria per </w:t>
            </w:r>
            <w:r>
              <w:rPr>
                <w:bCs/>
                <w:iCs/>
              </w:rPr>
              <w:t>un minimo del</w:t>
            </w:r>
            <w:r w:rsidRPr="00342C44">
              <w:rPr>
                <w:bCs/>
                <w:iCs/>
              </w:rPr>
              <w:t xml:space="preserve"> 75% delle ore di lezione </w:t>
            </w:r>
            <w:r>
              <w:rPr>
                <w:bCs/>
                <w:iCs/>
              </w:rPr>
              <w:t xml:space="preserve">(54 ore) </w:t>
            </w:r>
            <w:r w:rsidRPr="00342C44">
              <w:rPr>
                <w:bCs/>
                <w:iCs/>
              </w:rPr>
              <w:t>anche per gli studenti provenienti da altri corsi di laurea che intendono sostenere quest’esame come A SCELTA DELLO STUDENTE.</w:t>
            </w:r>
            <w:r w:rsidR="003C460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b/>
                <w:bCs/>
                <w:iCs/>
              </w:rPr>
              <w:t>Modulo di frequenza ai corsi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online all’indirizzo: </w:t>
            </w:r>
            <w:hyperlink r:id="rId8" w:history="1">
              <w:r w:rsidRPr="00BD419F">
                <w:rPr>
                  <w:rStyle w:val="Hyperlink"/>
                  <w:bCs/>
                  <w:iCs/>
                </w:rPr>
                <w:t>http://www.cognitivelab.it/studenti/esami/modulofrequenze/</w:t>
              </w:r>
            </w:hyperlink>
            <w:r>
              <w:rPr>
                <w:bCs/>
                <w:iCs/>
              </w:rPr>
              <w:t xml:space="preserve"> </w:t>
            </w:r>
          </w:p>
        </w:tc>
      </w:tr>
      <w:tr w:rsidR="006335E1" w:rsidRPr="00942B92" w:rsidTr="006805D2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6335E1" w:rsidRDefault="00737524" w:rsidP="0035694A">
            <w:pPr>
              <w:jc w:val="both"/>
              <w:rPr>
                <w:bCs/>
                <w:iCs/>
              </w:rPr>
            </w:pPr>
            <w:r w:rsidRPr="00737524">
              <w:rPr>
                <w:bCs/>
                <w:iCs/>
              </w:rPr>
              <w:t>L’esame è sia scritto che orale. Durante l’esame verrà somministrato,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9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Pr="00737524">
              <w:rPr>
                <w:bCs/>
                <w:iCs/>
              </w:rPr>
              <w:t>1 questionario con 16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C47C03">
              <w:rPr>
                <w:bCs/>
                <w:iCs/>
              </w:rPr>
              <w:t>) relativo al manuale</w:t>
            </w:r>
            <w:r w:rsidRPr="00737524">
              <w:rPr>
                <w:bCs/>
                <w:iCs/>
              </w:rPr>
              <w:t xml:space="preserve"> di </w:t>
            </w:r>
            <w:r w:rsidR="006555AE" w:rsidRPr="006555AE">
              <w:rPr>
                <w:bCs/>
                <w:i/>
                <w:iCs/>
              </w:rPr>
              <w:t>Psicologia</w:t>
            </w:r>
            <w:r w:rsidR="0035694A">
              <w:rPr>
                <w:bCs/>
                <w:i/>
                <w:iCs/>
              </w:rPr>
              <w:t xml:space="preserve"> generale</w:t>
            </w:r>
            <w:r w:rsidR="00C47C03">
              <w:rPr>
                <w:bCs/>
                <w:iCs/>
              </w:rPr>
              <w:t xml:space="preserve"> e di </w:t>
            </w:r>
            <w:r w:rsidR="00C47C03">
              <w:rPr>
                <w:bCs/>
                <w:i/>
                <w:iCs/>
              </w:rPr>
              <w:t xml:space="preserve">Storia della psicologia. </w:t>
            </w:r>
            <w:r w:rsidRPr="00737524">
              <w:rPr>
                <w:bCs/>
                <w:iCs/>
              </w:rPr>
              <w:t xml:space="preserve">Quanti avranno superato la prova scritta (almeno </w:t>
            </w:r>
            <w:r w:rsidRPr="00737524">
              <w:rPr>
                <w:b/>
                <w:bCs/>
                <w:iCs/>
              </w:rPr>
              <w:t>9 punti</w:t>
            </w:r>
            <w:r w:rsidR="0035694A">
              <w:rPr>
                <w:bCs/>
                <w:iCs/>
              </w:rPr>
              <w:t>,</w:t>
            </w:r>
            <w:r w:rsidRPr="00737524">
              <w:rPr>
                <w:bCs/>
                <w:iCs/>
              </w:rPr>
              <w:t xml:space="preserve"> che possono essere raggiunti con almeno 9 risposte esatte oppure con le risposte esatte più il numero di crediti acqui</w:t>
            </w:r>
            <w:r w:rsidR="0035694A">
              <w:rPr>
                <w:bCs/>
                <w:iCs/>
              </w:rPr>
              <w:t>siti durante le sperimentazioni</w:t>
            </w:r>
            <w:r w:rsidR="009E1D3A">
              <w:rPr>
                <w:bCs/>
                <w:iCs/>
              </w:rPr>
              <w:t>)</w:t>
            </w:r>
            <w:r w:rsidRPr="00737524">
              <w:rPr>
                <w:bCs/>
                <w:iCs/>
              </w:rPr>
              <w:t xml:space="preserve"> sosterranno successivamente (nello stesso giorno</w:t>
            </w:r>
            <w:r w:rsidR="0035694A">
              <w:rPr>
                <w:bCs/>
                <w:iCs/>
              </w:rPr>
              <w:t xml:space="preserve"> o in un successivo appello</w:t>
            </w:r>
            <w:r w:rsidRPr="00737524">
              <w:rPr>
                <w:bCs/>
                <w:iCs/>
              </w:rPr>
              <w:t>) la prova orale sull’intero programma d’esame.</w:t>
            </w:r>
          </w:p>
          <w:p w:rsidR="005E3230" w:rsidRPr="003D5855" w:rsidRDefault="005E3230" w:rsidP="005E3230">
            <w:pPr>
              <w:jc w:val="both"/>
            </w:pPr>
            <w:r w:rsidRPr="005E3230">
              <w:lastRenderedPageBreak/>
              <w:t xml:space="preserve">L’esame scritto si può sostenere </w:t>
            </w:r>
            <w:r w:rsidRPr="005E3230">
              <w:rPr>
                <w:b/>
                <w:bCs/>
              </w:rPr>
              <w:t>solo nelle 3 date</w:t>
            </w:r>
            <w:r>
              <w:rPr>
                <w:bCs/>
              </w:rPr>
              <w:t xml:space="preserve"> (</w:t>
            </w:r>
            <w:r>
              <w:t>una per la sessione estiva</w:t>
            </w:r>
            <w:r w:rsidRPr="005E3230">
              <w:t>, una per la sessione autunnale</w:t>
            </w:r>
            <w:r>
              <w:t>, una per la sessione invernale)</w:t>
            </w:r>
            <w:r w:rsidRPr="005E3230">
              <w:t xml:space="preserve"> indicate nel </w:t>
            </w:r>
            <w:hyperlink r:id="rId10" w:history="1">
              <w:r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Pr="005E3230">
              <w:t xml:space="preserve"> esami dove vi sia espressamente indicato “scritto e orale”. Per</w:t>
            </w:r>
            <w:r>
              <w:t xml:space="preserve"> l’A.A. 2014-15 le 3</w:t>
            </w:r>
            <w:r w:rsidRPr="005E3230">
              <w:t xml:space="preserve"> da</w:t>
            </w:r>
            <w:r>
              <w:t>te in cui è possibile sostenere anche la prova scritta sono il 17/06/2015, il 02/09/2015 e il 03/02/2016.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CC6464"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:rsidTr="00CC6464"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3E2F8A" w:rsidTr="00CC6464">
        <w:tc>
          <w:tcPr>
            <w:tcW w:w="9778" w:type="dxa"/>
          </w:tcPr>
          <w:p w:rsidR="006335E1" w:rsidRPr="00935B13" w:rsidRDefault="00D463D9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D463D9">
              <w:rPr>
                <w:smallCaps/>
              </w:rPr>
              <w:t>Anolli, L., &amp; Legrenzi, P. (2012).</w:t>
            </w:r>
            <w:r w:rsidR="0035694A" w:rsidRPr="0035694A">
              <w:rPr>
                <w:smallCaps/>
              </w:rPr>
              <w:t xml:space="preserve"> </w:t>
            </w:r>
            <w:r w:rsidR="0035694A" w:rsidRPr="0035694A">
              <w:rPr>
                <w:i/>
              </w:rPr>
              <w:t>Psicologia generale</w:t>
            </w:r>
            <w:r w:rsidR="0035694A" w:rsidRPr="0035694A">
              <w:t xml:space="preserve"> (5</w:t>
            </w:r>
            <w:r w:rsidR="0035694A" w:rsidRPr="0035694A">
              <w:rPr>
                <w:u w:val="single"/>
                <w:vertAlign w:val="superscript"/>
              </w:rPr>
              <w:t>a</w:t>
            </w:r>
            <w:r w:rsidR="0035694A" w:rsidRPr="0035694A">
              <w:t xml:space="preserve"> ed.). Milano, IT: Il Mulino.</w:t>
            </w:r>
            <w:r w:rsidR="0035694A"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  <w:p w:rsidR="00935B13" w:rsidRPr="00935B13" w:rsidRDefault="00935B13" w:rsidP="00935B13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 w:rsidR="008453E2">
              <w:rPr>
                <w:i/>
              </w:rPr>
              <w:t>:</w:t>
            </w:r>
          </w:p>
          <w:p w:rsidR="00935B13" w:rsidRPr="003C4608" w:rsidRDefault="00935B13" w:rsidP="00935B13">
            <w:pPr>
              <w:ind w:left="360"/>
              <w:jc w:val="both"/>
              <w:rPr>
                <w:lang w:val="en-US"/>
              </w:rPr>
            </w:pPr>
            <w:r w:rsidRPr="00935B13">
              <w:rPr>
                <w:smallCaps/>
                <w:lang w:val="en-US"/>
              </w:rPr>
              <w:t>Nolen-Hoeksema, S., Fredrickson, B. L., Loftus, G. R., &amp; Wagenaar, W. A.</w:t>
            </w:r>
            <w:r w:rsidRPr="00935B13">
              <w:rPr>
                <w:lang w:val="en-US"/>
              </w:rPr>
              <w:t xml:space="preserve"> (2009). </w:t>
            </w:r>
            <w:r w:rsidRPr="00935B13">
              <w:rPr>
                <w:i/>
                <w:iCs/>
                <w:lang w:val="en-US"/>
              </w:rPr>
              <w:t>Atkinson &amp; Hilgard’s Introduction to Psychology</w:t>
            </w:r>
            <w:r w:rsidRPr="00935B13">
              <w:rPr>
                <w:lang w:val="en-US"/>
              </w:rPr>
              <w:t xml:space="preserve"> (15</w:t>
            </w:r>
            <w:r w:rsidRPr="00935B13">
              <w:rPr>
                <w:vertAlign w:val="superscript"/>
                <w:lang w:val="en-US"/>
              </w:rPr>
              <w:t>th</w:t>
            </w:r>
            <w:r w:rsidRPr="00935B13">
              <w:rPr>
                <w:lang w:val="en-US"/>
              </w:rPr>
              <w:t xml:space="preserve"> ed.). </w:t>
            </w:r>
            <w:r w:rsidRPr="003C4608">
              <w:rPr>
                <w:lang w:val="en-US"/>
              </w:rPr>
              <w:t>Cheriton House, UK: Cengage Learning EMEA.</w:t>
            </w:r>
          </w:p>
        </w:tc>
      </w:tr>
      <w:tr w:rsidR="006335E1" w:rsidRPr="00942B92" w:rsidTr="00CC6464">
        <w:tc>
          <w:tcPr>
            <w:tcW w:w="9778" w:type="dxa"/>
          </w:tcPr>
          <w:p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:rsidTr="00CC6464">
        <w:tc>
          <w:tcPr>
            <w:tcW w:w="9778" w:type="dxa"/>
          </w:tcPr>
          <w:p w:rsidR="008453E2" w:rsidRPr="008453E2" w:rsidRDefault="00B30441" w:rsidP="008453E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453E2">
              <w:rPr>
                <w:smallCaps/>
                <w:lang w:val="en-US"/>
              </w:rPr>
              <w:t xml:space="preserve">Buss, D. M. </w:t>
            </w:r>
            <w:r w:rsidRPr="008453E2">
              <w:rPr>
                <w:lang w:val="en-US"/>
              </w:rPr>
              <w:t xml:space="preserve">(2012). </w:t>
            </w:r>
            <w:r w:rsidR="008453E2" w:rsidRPr="008453E2">
              <w:rPr>
                <w:i/>
                <w:iCs/>
                <w:lang w:val="en-US"/>
              </w:rPr>
              <w:t>Evolutionary Psychology: The New Science of the Mind</w:t>
            </w:r>
            <w:r w:rsidR="008453E2" w:rsidRPr="008453E2">
              <w:rPr>
                <w:lang w:val="en-US"/>
              </w:rPr>
              <w:t xml:space="preserve"> (4</w:t>
            </w:r>
            <w:r w:rsidR="008453E2" w:rsidRPr="008453E2">
              <w:rPr>
                <w:vertAlign w:val="superscript"/>
                <w:lang w:val="en-US"/>
              </w:rPr>
              <w:t>th</w:t>
            </w:r>
            <w:r w:rsidR="008453E2" w:rsidRPr="008453E2">
              <w:rPr>
                <w:lang w:val="en-US"/>
              </w:rPr>
              <w:t xml:space="preserve"> ed.). </w:t>
            </w:r>
            <w:r w:rsidR="008453E2" w:rsidRPr="003C4608">
              <w:rPr>
                <w:lang w:val="en-US"/>
              </w:rPr>
              <w:t xml:space="preserve">New York, NY, US: Pearson. (Chapters: 1-5) Trad. it.: (2012). </w:t>
            </w:r>
            <w:r w:rsidRPr="003C4608">
              <w:rPr>
                <w:i/>
                <w:lang w:val="en-US"/>
              </w:rPr>
              <w:t>Psicologia evoluzionistica</w:t>
            </w:r>
            <w:r w:rsidRPr="003C4608">
              <w:rPr>
                <w:lang w:val="en-US"/>
              </w:rPr>
              <w:t xml:space="preserve">. </w:t>
            </w:r>
            <w:r>
              <w:t>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:rsidTr="00CC6464">
        <w:tc>
          <w:tcPr>
            <w:tcW w:w="9778" w:type="dxa"/>
          </w:tcPr>
          <w:p w:rsidR="00E3166D" w:rsidRPr="00174A90" w:rsidRDefault="00D463D9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>
              <w:t xml:space="preserve"> (2014). </w:t>
            </w:r>
            <w:r w:rsidR="0035694A"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B24DE9">
              <w:t xml:space="preserve"> (2</w:t>
            </w:r>
            <w:r w:rsidR="00C51A8A">
              <w:t>014-2015</w:t>
            </w:r>
            <w:r>
              <w:t>) disponibili online su</w:t>
            </w:r>
            <w:r w:rsidR="00E3166D">
              <w:t xml:space="preserve">l sito: </w:t>
            </w:r>
            <w:hyperlink r:id="rId11" w:history="1">
              <w:r w:rsidR="00B24DE9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</w:p>
        </w:tc>
      </w:tr>
      <w:tr w:rsidR="00B763BD" w:rsidRPr="00942B92" w:rsidTr="00CC6464">
        <w:tc>
          <w:tcPr>
            <w:tcW w:w="9778" w:type="dxa"/>
          </w:tcPr>
          <w:p w:rsidR="00B763BD" w:rsidRPr="00C962BA" w:rsidRDefault="00B763BD" w:rsidP="00356B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="00476537" w:rsidRPr="00476537">
              <w:t xml:space="preserve"> </w:t>
            </w:r>
            <w:r w:rsidR="00476537">
              <w:rPr>
                <w:i/>
              </w:rPr>
              <w:t>(si consiglia la lettura di uno o più dei seguenti testi di approfondimento</w:t>
            </w:r>
            <w:r w:rsidR="00A2543E">
              <w:rPr>
                <w:i/>
              </w:rPr>
              <w:t>; durante il corso saranno</w:t>
            </w:r>
            <w:r w:rsidR="00476537">
              <w:rPr>
                <w:i/>
              </w:rPr>
              <w:t xml:space="preserve"> previsti dei </w:t>
            </w:r>
            <w:r w:rsidR="00DD0490">
              <w:rPr>
                <w:i/>
              </w:rPr>
              <w:t>laboratori</w:t>
            </w:r>
            <w:r w:rsidR="00476537">
              <w:rPr>
                <w:i/>
              </w:rPr>
              <w:t xml:space="preserve"> di lettura e approfondimento di alcuni dei testi con</w:t>
            </w:r>
            <w:r w:rsidR="00950AD5">
              <w:rPr>
                <w:i/>
              </w:rPr>
              <w:t>sig</w:t>
            </w:r>
            <w:r w:rsidR="00476537">
              <w:rPr>
                <w:i/>
              </w:rPr>
              <w:t>liati; a</w:t>
            </w:r>
            <w:r w:rsidR="00950AD5">
              <w:rPr>
                <w:i/>
              </w:rPr>
              <w:t xml:space="preserve">gli studenti che avranno partecipato ai </w:t>
            </w:r>
            <w:r w:rsidR="00DD0490">
              <w:rPr>
                <w:i/>
              </w:rPr>
              <w:t>laboratori</w:t>
            </w:r>
            <w:r w:rsidR="00950AD5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>
              <w:rPr>
                <w:i/>
              </w:rPr>
              <w:t>,</w:t>
            </w:r>
            <w:r w:rsidR="00950AD5">
              <w:rPr>
                <w:i/>
              </w:rPr>
              <w:t xml:space="preserve">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AB0AE8" w:rsidRPr="00AB0AE8" w:rsidTr="00CC6464">
        <w:tc>
          <w:tcPr>
            <w:tcW w:w="9778" w:type="dxa"/>
          </w:tcPr>
          <w:p w:rsidR="00AB0AE8" w:rsidRPr="00AB0AE8" w:rsidRDefault="00AB0AE8" w:rsidP="00AB0AE8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174A90">
              <w:rPr>
                <w:smallCaps/>
              </w:rPr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174A90">
              <w:rPr>
                <w:i/>
              </w:rPr>
              <w:t>Psicologia evoluzionistica</w:t>
            </w:r>
            <w:r w:rsidRPr="00324FF0">
              <w:t>. Torino: Bollati Boringhieri.</w:t>
            </w:r>
          </w:p>
        </w:tc>
      </w:tr>
      <w:tr w:rsidR="004609B9" w:rsidRPr="003E2F8A" w:rsidTr="00CC6464">
        <w:tc>
          <w:tcPr>
            <w:tcW w:w="9778" w:type="dxa"/>
          </w:tcPr>
          <w:p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12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:rsidTr="00CC6464">
        <w:tc>
          <w:tcPr>
            <w:tcW w:w="9778" w:type="dxa"/>
          </w:tcPr>
          <w:p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5C7317">
              <w:rPr>
                <w:smallCaps/>
              </w:rPr>
              <w:t xml:space="preserve">Camperio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favouring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:rsidTr="00CC6464">
        <w:tc>
          <w:tcPr>
            <w:tcW w:w="9778" w:type="dxa"/>
          </w:tcPr>
          <w:p w:rsidR="00AB0AE8" w:rsidRPr="008453E2" w:rsidRDefault="00B30441" w:rsidP="008453E2">
            <w:pPr>
              <w:pStyle w:val="ListParagraph"/>
              <w:numPr>
                <w:ilvl w:val="0"/>
                <w:numId w:val="6"/>
              </w:numPr>
            </w:pPr>
            <w:r w:rsidRPr="008453E2">
              <w:rPr>
                <w:smallCaps/>
                <w:lang w:val="en-US"/>
              </w:rPr>
              <w:t xml:space="preserve">Diamond, J. </w:t>
            </w:r>
            <w:r w:rsidR="008453E2" w:rsidRPr="008453E2">
              <w:rPr>
                <w:lang w:val="en-US"/>
              </w:rPr>
              <w:t xml:space="preserve">(1999). </w:t>
            </w:r>
            <w:r w:rsidR="008453E2" w:rsidRPr="008453E2">
              <w:rPr>
                <w:i/>
                <w:iCs/>
                <w:lang w:val="en-US"/>
              </w:rPr>
              <w:t>Guns, Germs, and Steel: The Fates of Human Societies</w:t>
            </w:r>
            <w:r w:rsidR="008453E2" w:rsidRPr="008453E2">
              <w:rPr>
                <w:lang w:val="en-US"/>
              </w:rPr>
              <w:t xml:space="preserve">. </w:t>
            </w:r>
            <w:r w:rsidR="008453E2" w:rsidRPr="003C4608">
              <w:rPr>
                <w:lang w:val="en-US"/>
              </w:rPr>
              <w:t xml:space="preserve">New York, NY: W. W. Norton &amp; Co. Trad. it.: </w:t>
            </w:r>
            <w:r w:rsidRPr="003C4608">
              <w:rPr>
                <w:lang w:val="en-US"/>
              </w:rPr>
              <w:t xml:space="preserve">(2006). </w:t>
            </w:r>
            <w:r w:rsidRPr="003C4608">
              <w:rPr>
                <w:i/>
                <w:lang w:val="en-US"/>
              </w:rPr>
              <w:t xml:space="preserve">Armi, acciaio e malattie. </w:t>
            </w:r>
            <w:r w:rsidRPr="008453E2">
              <w:rPr>
                <w:i/>
              </w:rPr>
              <w:t>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:rsidTr="00CC6464">
        <w:tc>
          <w:tcPr>
            <w:tcW w:w="9778" w:type="dxa"/>
          </w:tcPr>
          <w:p w:rsidR="006F0C81" w:rsidRPr="003C4608" w:rsidRDefault="006F0C81" w:rsidP="008453E2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453E2">
              <w:rPr>
                <w:smallCaps/>
                <w:lang w:val="en-US"/>
              </w:rPr>
              <w:t xml:space="preserve">Eibl-Eibesfeldt, I. </w:t>
            </w:r>
            <w:r w:rsidR="008453E2" w:rsidRPr="008453E2">
              <w:rPr>
                <w:lang w:val="en-US"/>
              </w:rPr>
              <w:t xml:space="preserve">(1989). </w:t>
            </w:r>
            <w:r w:rsidR="008453E2" w:rsidRPr="008453E2">
              <w:rPr>
                <w:i/>
                <w:iCs/>
                <w:lang w:val="en-US"/>
              </w:rPr>
              <w:t>Human Ethology</w:t>
            </w:r>
            <w:r w:rsidR="008453E2" w:rsidRPr="008453E2">
              <w:rPr>
                <w:lang w:val="en-US"/>
              </w:rPr>
              <w:t>. Aldine de Gruyter: New York, NY, USA.</w:t>
            </w:r>
            <w:r w:rsidR="008453E2">
              <w:rPr>
                <w:smallCaps/>
                <w:lang w:val="en-US"/>
              </w:rPr>
              <w:t xml:space="preserve"> </w:t>
            </w:r>
            <w:r w:rsidR="008453E2" w:rsidRPr="003C4608">
              <w:t>Trad. it.:</w:t>
            </w:r>
            <w:r w:rsidR="008453E2" w:rsidRPr="003C4608">
              <w:rPr>
                <w:smallCaps/>
              </w:rPr>
              <w:t xml:space="preserve"> </w:t>
            </w:r>
            <w:r w:rsidRPr="003C4608">
              <w:t xml:space="preserve">(2001). </w:t>
            </w:r>
            <w:r w:rsidRPr="008453E2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:rsidTr="00CC6464">
        <w:tc>
          <w:tcPr>
            <w:tcW w:w="9778" w:type="dxa"/>
          </w:tcPr>
          <w:p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:rsidTr="00CC6464">
        <w:tc>
          <w:tcPr>
            <w:tcW w:w="9778" w:type="dxa"/>
          </w:tcPr>
          <w:p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8453E2" w:rsidRDefault="00661111" w:rsidP="008453E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7652">
              <w:rPr>
                <w:smallCaps/>
                <w:lang w:val="en-US"/>
              </w:rPr>
              <w:t>Gazzaniga</w:t>
            </w:r>
            <w:r w:rsidRPr="001E7652">
              <w:rPr>
                <w:lang w:val="en-US"/>
              </w:rPr>
              <w:t xml:space="preserve">, M. S. </w:t>
            </w:r>
            <w:r w:rsidR="001E7652" w:rsidRPr="001E7652">
              <w:rPr>
                <w:lang w:val="en-US"/>
              </w:rPr>
              <w:t xml:space="preserve">(1998). </w:t>
            </w:r>
            <w:r w:rsidR="001E7652" w:rsidRPr="001E7652">
              <w:rPr>
                <w:i/>
                <w:iCs/>
                <w:lang w:val="en-US"/>
              </w:rPr>
              <w:t>The Mind’s Past</w:t>
            </w:r>
            <w:r w:rsidR="001E7652" w:rsidRPr="001E7652">
              <w:rPr>
                <w:lang w:val="en-US"/>
              </w:rPr>
              <w:t>. Berkeley, CA: University of California Press.</w:t>
            </w:r>
            <w:r w:rsidR="008453E2">
              <w:rPr>
                <w:lang w:val="en-US"/>
              </w:rPr>
              <w:t xml:space="preserve"> </w:t>
            </w:r>
            <w:r w:rsidR="001E7652">
              <w:t>Trad. it.:</w:t>
            </w:r>
            <w:r w:rsidR="001E7652" w:rsidRPr="0011407E">
              <w:t xml:space="preserve"> </w:t>
            </w:r>
            <w:r w:rsidRPr="0011407E">
              <w:t xml:space="preserve">(1999). </w:t>
            </w:r>
            <w:r w:rsidRPr="008453E2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:rsidTr="00CC6464">
        <w:tc>
          <w:tcPr>
            <w:tcW w:w="9778" w:type="dxa"/>
          </w:tcPr>
          <w:p w:rsidR="00661111" w:rsidRPr="001E7652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(2002). The Split Brain Revisited. </w:t>
            </w:r>
            <w:r w:rsidRPr="001E7652">
              <w:rPr>
                <w:i/>
                <w:iCs/>
              </w:rPr>
              <w:t>Scientific American Special Edition, 12</w:t>
            </w:r>
            <w:r w:rsidRPr="001E7652">
              <w:t>(1), 27-31.</w:t>
            </w:r>
          </w:p>
        </w:tc>
      </w:tr>
      <w:tr w:rsidR="00661111" w:rsidRPr="001E7652" w:rsidTr="00CC6464">
        <w:tc>
          <w:tcPr>
            <w:tcW w:w="9778" w:type="dxa"/>
          </w:tcPr>
          <w:p w:rsidR="00661111" w:rsidRPr="001E7652" w:rsidRDefault="00661111" w:rsidP="001E765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</w:t>
            </w:r>
            <w:r w:rsidR="001E7652" w:rsidRPr="003C4608">
              <w:rPr>
                <w:lang w:val="en-US"/>
              </w:rPr>
              <w:t>(200</w:t>
            </w:r>
            <w:r w:rsidR="001E7652" w:rsidRPr="001E7652">
              <w:rPr>
                <w:lang w:val="en-US"/>
              </w:rPr>
              <w:t xml:space="preserve">8). </w:t>
            </w:r>
            <w:r w:rsidR="001E7652" w:rsidRPr="001E7652">
              <w:rPr>
                <w:i/>
                <w:iCs/>
                <w:lang w:val="en-US"/>
              </w:rPr>
              <w:t>Human: The Science Behind What Makes Your Brain Unique</w:t>
            </w:r>
            <w:r w:rsidR="001E7652" w:rsidRPr="001E7652">
              <w:rPr>
                <w:lang w:val="en-US"/>
              </w:rPr>
              <w:t xml:space="preserve">. New York, NY: Harper Collins. Trad. </w:t>
            </w:r>
            <w:r w:rsidR="001E7652">
              <w:rPr>
                <w:lang w:val="en-US"/>
              </w:rPr>
              <w:t>it.:</w:t>
            </w:r>
            <w:r w:rsidRPr="001E7652">
              <w:rPr>
                <w:lang w:val="en-US"/>
              </w:rPr>
              <w:t xml:space="preserve">(2009). </w:t>
            </w:r>
            <w:r w:rsidRPr="001E7652">
              <w:rPr>
                <w:i/>
                <w:iCs/>
                <w:lang w:val="en-US"/>
              </w:rPr>
              <w:t>Human: Quel che ci rende unici</w:t>
            </w:r>
            <w:r w:rsidRPr="001E7652">
              <w:rPr>
                <w:lang w:val="en-US"/>
              </w:rPr>
              <w:t>. Roma: Raffaello Cortina.</w:t>
            </w:r>
          </w:p>
        </w:tc>
      </w:tr>
      <w:tr w:rsidR="003E2F8A" w:rsidRPr="001E7652" w:rsidTr="00CC6464">
        <w:tc>
          <w:tcPr>
            <w:tcW w:w="9778" w:type="dxa"/>
          </w:tcPr>
          <w:p w:rsidR="003E2F8A" w:rsidRPr="003E2F8A" w:rsidRDefault="003E2F8A" w:rsidP="003E2F8A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E2F8A">
              <w:rPr>
                <w:smallCaps/>
                <w:lang w:val="en-US"/>
              </w:rPr>
              <w:t>Gazzaniga, M. S.</w:t>
            </w:r>
            <w:r w:rsidRPr="003E2F8A">
              <w:rPr>
                <w:lang w:val="en-US"/>
              </w:rPr>
              <w:t xml:space="preserve"> (2012). </w:t>
            </w:r>
            <w:r w:rsidRPr="003E2F8A">
              <w:rPr>
                <w:i/>
                <w:iCs/>
                <w:lang w:val="en-US"/>
              </w:rPr>
              <w:t>Who’s in Charge?: Free Will and the Science of the Brain</w:t>
            </w:r>
            <w:r w:rsidRPr="003E2F8A">
              <w:rPr>
                <w:lang w:val="en-US"/>
              </w:rPr>
              <w:t xml:space="preserve">. </w:t>
            </w:r>
            <w:r w:rsidRPr="003E2F8A">
              <w:t>London, UK: Constable &amp; Robinson.</w:t>
            </w:r>
          </w:p>
        </w:tc>
      </w:tr>
      <w:tr w:rsidR="00661111" w:rsidRPr="001E7652" w:rsidTr="00CC6464">
        <w:tc>
          <w:tcPr>
            <w:tcW w:w="9778" w:type="dxa"/>
          </w:tcPr>
          <w:p w:rsidR="00661111" w:rsidRPr="00661111" w:rsidRDefault="001E7652" w:rsidP="001E7652">
            <w:pPr>
              <w:pStyle w:val="ListParagraph"/>
              <w:numPr>
                <w:ilvl w:val="0"/>
                <w:numId w:val="6"/>
              </w:numPr>
              <w:rPr>
                <w:lang w:val="en-US" w:eastAsia="en-US"/>
              </w:rPr>
            </w:pPr>
            <w:r w:rsidRPr="001E7652">
              <w:rPr>
                <w:smallCaps/>
                <w:lang w:val="en-US" w:eastAsia="en-US"/>
              </w:rPr>
              <w:t>Harris (1998)</w:t>
            </w:r>
            <w:r w:rsidRPr="001E7652">
              <w:rPr>
                <w:lang w:val="en-US" w:eastAsia="en-US"/>
              </w:rPr>
              <w:t xml:space="preserve"> The Nurture Assumption: Why Children Turn Out the Way They Do. </w:t>
            </w:r>
            <w:r w:rsidRPr="003C4608">
              <w:rPr>
                <w:lang w:eastAsia="en-US"/>
              </w:rPr>
              <w:t xml:space="preserve">Washington, DC: Free Press. Trad. it.: </w:t>
            </w:r>
            <w:r w:rsidR="00661111" w:rsidRPr="003C4608">
              <w:rPr>
                <w:lang w:eastAsia="en-US"/>
              </w:rPr>
              <w:t xml:space="preserve">(1999). </w:t>
            </w:r>
            <w:r w:rsidR="00661111" w:rsidRPr="003C4608">
              <w:rPr>
                <w:i/>
                <w:iCs/>
                <w:lang w:eastAsia="en-US"/>
              </w:rPr>
              <w:t>Non è colpa dei genitori</w:t>
            </w:r>
            <w:r w:rsidR="00661111" w:rsidRPr="003C4608">
              <w:rPr>
                <w:lang w:eastAsia="en-US"/>
              </w:rPr>
              <w:t xml:space="preserve">. </w:t>
            </w:r>
            <w:r w:rsidR="00661111">
              <w:rPr>
                <w:lang w:val="en-US" w:eastAsia="en-US"/>
              </w:rPr>
              <w:t>Milano: Mondadori.</w:t>
            </w:r>
          </w:p>
        </w:tc>
      </w:tr>
      <w:tr w:rsidR="000D1BDB" w:rsidRPr="000D1BDB" w:rsidTr="00CC6464">
        <w:tc>
          <w:tcPr>
            <w:tcW w:w="9778" w:type="dxa"/>
          </w:tcPr>
          <w:p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:rsidTr="00CC6464">
        <w:tc>
          <w:tcPr>
            <w:tcW w:w="9778" w:type="dxa"/>
          </w:tcPr>
          <w:p w:rsidR="00661111" w:rsidRPr="00661111" w:rsidRDefault="00661111" w:rsidP="00DE2B6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C4608">
              <w:rPr>
                <w:smallCaps/>
                <w:lang w:val="en-US"/>
              </w:rPr>
              <w:t>Kandel, E. R</w:t>
            </w:r>
            <w:r w:rsidRPr="003C4608">
              <w:rPr>
                <w:lang w:val="en-US"/>
              </w:rPr>
              <w:t xml:space="preserve">. </w:t>
            </w:r>
            <w:r w:rsidR="00DE2B64" w:rsidRPr="00DE2B64">
              <w:rPr>
                <w:lang w:val="en-US"/>
              </w:rPr>
              <w:t xml:space="preserve">(2000). The Brain and Behavior. In E. R. Kandel, J. H. Schwartz &amp; T. M. Jessell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>
              <w:rPr>
                <w:lang w:val="en-US"/>
              </w:rPr>
              <w:t xml:space="preserve"> ed., pp. 5-18</w:t>
            </w:r>
            <w:r w:rsidR="00DE2B64" w:rsidRPr="00DE2B64">
              <w:rPr>
                <w:lang w:val="en-US"/>
              </w:rPr>
              <w:t xml:space="preserve">). New York, NY, US: McGraw-Hill. Trad. </w:t>
            </w:r>
            <w:r w:rsidR="00DE2B64">
              <w:rPr>
                <w:lang w:val="en-US"/>
              </w:rPr>
              <w:t>it.:</w:t>
            </w:r>
            <w:r w:rsidR="00DE2B64" w:rsidRPr="00DE2B64">
              <w:rPr>
                <w:lang w:val="en-US"/>
              </w:rPr>
              <w:t xml:space="preserve"> </w:t>
            </w:r>
            <w:r w:rsidRPr="00DE2B64">
              <w:rPr>
                <w:lang w:val="en-US"/>
              </w:rPr>
              <w:t xml:space="preserve">(2003). Cervello e comportamento. </w:t>
            </w:r>
            <w:r w:rsidRPr="00DE2B64">
              <w:t xml:space="preserve">In E. R. Kandel, J. H. Schwartz &amp; T. M. Jessell (Eds.), </w:t>
            </w:r>
            <w:r w:rsidRPr="00DE2B64">
              <w:rPr>
                <w:i/>
                <w:iCs/>
              </w:rPr>
              <w:t>Principi di neuroscienze</w:t>
            </w:r>
            <w:r w:rsidRPr="00DE2B64">
              <w:t xml:space="preserve"> (3</w:t>
            </w:r>
            <w:r w:rsidRPr="00DE2B64">
              <w:rPr>
                <w:vertAlign w:val="superscript"/>
              </w:rPr>
              <w:t>a</w:t>
            </w:r>
            <w:r w:rsidRPr="00DE2B64">
              <w:t xml:space="preserve"> ed</w:t>
            </w:r>
            <w:r w:rsidR="00DE2B64">
              <w:t>.,</w:t>
            </w:r>
            <w:r w:rsidRPr="00661111">
              <w:t xml:space="preserve"> pp. 5-19). Milano: CEA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7452EF" w:rsidRDefault="00661111" w:rsidP="00DE2B64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lang w:val="en-US"/>
              </w:rPr>
              <w:t>K</w:t>
            </w:r>
            <w:r w:rsidRPr="003C4608">
              <w:rPr>
                <w:smallCaps/>
                <w:lang w:val="en-US"/>
              </w:rPr>
              <w:t>andel</w:t>
            </w:r>
            <w:r w:rsidRPr="003C4608">
              <w:rPr>
                <w:lang w:val="en-US"/>
              </w:rPr>
              <w:t xml:space="preserve">, E. R. </w:t>
            </w:r>
            <w:r w:rsidR="00DE2B64" w:rsidRPr="003C4608">
              <w:rPr>
                <w:lang w:val="en-US"/>
              </w:rPr>
              <w:t xml:space="preserve">(2000). </w:t>
            </w:r>
            <w:r w:rsidR="00DE2B64" w:rsidRPr="00DE2B64">
              <w:rPr>
                <w:lang w:val="en-US"/>
              </w:rPr>
              <w:t xml:space="preserve">From Nerve Cells to Cognition: The Internal Cellular Representation Required for Perception and Action. In E. R. Kandel, J. H. Schwartz &amp; T. M. Jessell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 w:rsidRPr="00DE2B64">
              <w:rPr>
                <w:lang w:val="en-US"/>
              </w:rPr>
              <w:t xml:space="preserve"> ed., pp. 381-403). </w:t>
            </w:r>
            <w:r w:rsidR="00DE2B64" w:rsidRPr="00DE2B64">
              <w:t xml:space="preserve">New York, NY, US: McGraw-Hill. </w:t>
            </w:r>
            <w:r w:rsidR="00DE2B64">
              <w:t xml:space="preserve">Trad. it.: </w:t>
            </w:r>
            <w:r w:rsidRPr="00661111">
              <w:t>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="00DE2B64">
              <w:t xml:space="preserve"> ed., </w:t>
            </w:r>
            <w:r w:rsidRPr="00661111">
              <w:t>pp. 377-399). Milano: CEA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7452EF" w:rsidRDefault="00661111" w:rsidP="006E0D05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lastRenderedPageBreak/>
              <w:t>Newberg, A. B., d’Aquili, E. G., &amp; Rause,</w:t>
            </w:r>
            <w:r>
              <w:t xml:space="preserve"> V. </w:t>
            </w:r>
            <w:r w:rsidR="00DE2B64" w:rsidRPr="00DE2B64">
              <w:t xml:space="preserve">(2001). </w:t>
            </w:r>
            <w:r w:rsidR="006E0D05">
              <w:rPr>
                <w:i/>
                <w:iCs/>
                <w:lang w:val="en-US"/>
              </w:rPr>
              <w:t>Why God won’</w:t>
            </w:r>
            <w:r w:rsidR="00DE2B64" w:rsidRPr="00DE2B64">
              <w:rPr>
                <w:i/>
                <w:iCs/>
                <w:lang w:val="en-US"/>
              </w:rPr>
              <w:t>t go away: brain science and the biology of belief</w:t>
            </w:r>
            <w:r w:rsidR="00DE2B64" w:rsidRPr="00DE2B64">
              <w:rPr>
                <w:lang w:val="en-US"/>
              </w:rPr>
              <w:t xml:space="preserve">. </w:t>
            </w:r>
            <w:r w:rsidR="00DE2B64" w:rsidRPr="003C4608">
              <w:rPr>
                <w:lang w:val="en-US"/>
              </w:rPr>
              <w:t>New York, NY: Ballantine Books.</w:t>
            </w:r>
            <w:r w:rsidR="006E0D05" w:rsidRPr="003C4608">
              <w:rPr>
                <w:lang w:val="en-US"/>
              </w:rPr>
              <w:t xml:space="preserve"> Trad. it.: </w:t>
            </w:r>
            <w:r w:rsidRPr="003C4608">
              <w:rPr>
                <w:lang w:val="en-US"/>
              </w:rPr>
              <w:t xml:space="preserve">(2001). </w:t>
            </w:r>
            <w:r w:rsidRPr="003C4608">
              <w:rPr>
                <w:i/>
                <w:iCs/>
                <w:lang w:val="en-US"/>
              </w:rPr>
              <w:t xml:space="preserve">Dio nel cervello. </w:t>
            </w:r>
            <w:r w:rsidRPr="00A329DB">
              <w:rPr>
                <w:i/>
                <w:iCs/>
              </w:rPr>
              <w:t>La prova biologica della fede</w:t>
            </w:r>
            <w:r w:rsidRPr="007452EF">
              <w:t>. Milano: Mondadori.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Default="00661111" w:rsidP="00357FE8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Pinker</w:t>
            </w:r>
            <w:r w:rsidRPr="006E0D05">
              <w:rPr>
                <w:lang w:val="en-US"/>
              </w:rPr>
              <w:t xml:space="preserve">, S. </w:t>
            </w:r>
            <w:r w:rsidR="006E0D05" w:rsidRPr="006E0D05">
              <w:rPr>
                <w:lang w:val="en-US"/>
              </w:rPr>
              <w:t xml:space="preserve">(2002). </w:t>
            </w:r>
            <w:r w:rsidR="006E0D05" w:rsidRPr="006E0D05">
              <w:rPr>
                <w:i/>
                <w:iCs/>
                <w:lang w:val="en-US"/>
              </w:rPr>
              <w:t>The Blank Slate: The Modern Denial of Human Nature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>New York, NY: Penguin Books.</w:t>
            </w:r>
            <w:r w:rsidR="00357FE8">
              <w:t xml:space="preserve"> </w:t>
            </w:r>
            <w:r w:rsidR="006E0D05">
              <w:t>Trad. it.:</w:t>
            </w:r>
            <w:r w:rsidRPr="0011407E">
              <w:t xml:space="preserve"> </w:t>
            </w:r>
            <w:r w:rsidR="00357FE8" w:rsidRPr="0011407E">
              <w:t>(2006).</w:t>
            </w:r>
            <w:r w:rsidR="00357FE8">
              <w:t xml:space="preserve"> </w:t>
            </w:r>
            <w:r w:rsidRPr="00357FE8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6E0D05" w:rsidTr="00CC6464">
        <w:tc>
          <w:tcPr>
            <w:tcW w:w="9778" w:type="dxa"/>
          </w:tcPr>
          <w:p w:rsidR="00661111" w:rsidRPr="006E0D05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E0D05">
              <w:rPr>
                <w:smallCaps/>
                <w:lang w:val="en-US"/>
              </w:rPr>
              <w:t>Plotkin</w:t>
            </w:r>
            <w:r w:rsidRPr="006E0D05">
              <w:rPr>
                <w:lang w:val="en-US"/>
              </w:rPr>
              <w:t xml:space="preserve">, H. </w:t>
            </w:r>
            <w:r w:rsidR="006E0D05" w:rsidRPr="006E0D05">
              <w:rPr>
                <w:lang w:val="en-US"/>
              </w:rPr>
              <w:t xml:space="preserve">(1997). </w:t>
            </w:r>
            <w:r w:rsidR="006E0D05" w:rsidRPr="006E0D05">
              <w:rPr>
                <w:i/>
                <w:iCs/>
                <w:lang w:val="en-US"/>
              </w:rPr>
              <w:t>Evolution in mind: An introduction to evolutionary psychology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3C4608">
              <w:t xml:space="preserve">London, UK: Allen Lane &amp; Penguin. Trad. it.: </w:t>
            </w:r>
            <w:r w:rsidRPr="003C4608">
              <w:t xml:space="preserve">(2002). </w:t>
            </w:r>
            <w:r w:rsidRPr="003C4608">
              <w:rPr>
                <w:i/>
                <w:iCs/>
              </w:rPr>
              <w:t>Introduzione alla psicologia evoluzionistica</w:t>
            </w:r>
            <w:r w:rsidRPr="003C4608">
              <w:t xml:space="preserve">. </w:t>
            </w:r>
            <w:r w:rsidRPr="006E0D05">
              <w:rPr>
                <w:lang w:val="en-US"/>
              </w:rPr>
              <w:t>Roma: Astrolabio.</w:t>
            </w:r>
          </w:p>
        </w:tc>
      </w:tr>
      <w:tr w:rsidR="00661111" w:rsidRPr="003E2F8A" w:rsidTr="00CC6464">
        <w:tc>
          <w:tcPr>
            <w:tcW w:w="9778" w:type="dxa"/>
          </w:tcPr>
          <w:p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E0D05">
              <w:rPr>
                <w:smallCaps/>
                <w:lang w:val="en-US"/>
              </w:rPr>
              <w:t xml:space="preserve">Premack, D. (2007). </w:t>
            </w:r>
            <w:r w:rsidRPr="006E0D05">
              <w:rPr>
                <w:lang w:val="en-US"/>
              </w:rPr>
              <w:t>Human and animal c</w:t>
            </w:r>
            <w:r w:rsidRPr="00661111">
              <w:rPr>
                <w:lang w:val="en-US"/>
              </w:rPr>
              <w:t xml:space="preserve">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B2784F" w:rsidRDefault="0035694A" w:rsidP="006E0D05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Ramachandran</w:t>
            </w:r>
            <w:r w:rsidRPr="006E0D05">
              <w:rPr>
                <w:lang w:val="en-US"/>
              </w:rPr>
              <w:t xml:space="preserve">, V. S. </w:t>
            </w:r>
            <w:r w:rsidR="006E0D05" w:rsidRPr="006E0D05">
              <w:rPr>
                <w:lang w:val="en-US"/>
              </w:rPr>
              <w:t xml:space="preserve">(2011). </w:t>
            </w:r>
            <w:r w:rsidR="006E0D05" w:rsidRPr="006E0D05">
              <w:rPr>
                <w:i/>
                <w:iCs/>
                <w:lang w:val="en-US"/>
              </w:rPr>
              <w:t>The Tell-Tale Brain: A Neuroscientist’s Quest for What Makes Us Human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 xml:space="preserve">New York, NY: W. W. Norton. </w:t>
            </w:r>
            <w:r w:rsidR="006E0D05">
              <w:t xml:space="preserve">Trad. it.: </w:t>
            </w:r>
            <w:r w:rsidRPr="0035694A">
              <w:t xml:space="preserve">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13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F7" w:rsidRDefault="00087FF7" w:rsidP="00866303">
      <w:r>
        <w:separator/>
      </w:r>
    </w:p>
  </w:endnote>
  <w:endnote w:type="continuationSeparator" w:id="0">
    <w:p w:rsidR="00087FF7" w:rsidRDefault="00087FF7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48AF" w:rsidRDefault="00A848AF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A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A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8AF" w:rsidRDefault="00A8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F7" w:rsidRDefault="00087FF7" w:rsidP="00866303">
      <w:r>
        <w:separator/>
      </w:r>
    </w:p>
  </w:footnote>
  <w:footnote w:type="continuationSeparator" w:id="0">
    <w:p w:rsidR="00087FF7" w:rsidRDefault="00087FF7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A4E9E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271BF"/>
    <w:rsid w:val="00040DEF"/>
    <w:rsid w:val="00072028"/>
    <w:rsid w:val="00087FF7"/>
    <w:rsid w:val="000A4DFC"/>
    <w:rsid w:val="000B4FF3"/>
    <w:rsid w:val="000C250A"/>
    <w:rsid w:val="000D1BDB"/>
    <w:rsid w:val="000D6E64"/>
    <w:rsid w:val="000F2778"/>
    <w:rsid w:val="00107C5C"/>
    <w:rsid w:val="0011407E"/>
    <w:rsid w:val="00130684"/>
    <w:rsid w:val="00167796"/>
    <w:rsid w:val="00174A90"/>
    <w:rsid w:val="0019462D"/>
    <w:rsid w:val="001A03FF"/>
    <w:rsid w:val="001C51D8"/>
    <w:rsid w:val="001C67BC"/>
    <w:rsid w:val="001D67C4"/>
    <w:rsid w:val="001E7652"/>
    <w:rsid w:val="001F47F7"/>
    <w:rsid w:val="00223889"/>
    <w:rsid w:val="00224B55"/>
    <w:rsid w:val="002258E9"/>
    <w:rsid w:val="0024642D"/>
    <w:rsid w:val="00267EA6"/>
    <w:rsid w:val="002D18E7"/>
    <w:rsid w:val="002D286D"/>
    <w:rsid w:val="002D5939"/>
    <w:rsid w:val="002D6B2C"/>
    <w:rsid w:val="002E5055"/>
    <w:rsid w:val="002F7181"/>
    <w:rsid w:val="00303982"/>
    <w:rsid w:val="00324FF0"/>
    <w:rsid w:val="003334C4"/>
    <w:rsid w:val="0034209F"/>
    <w:rsid w:val="0035694A"/>
    <w:rsid w:val="00356B2B"/>
    <w:rsid w:val="00357FE8"/>
    <w:rsid w:val="003633FA"/>
    <w:rsid w:val="00366251"/>
    <w:rsid w:val="00383AF0"/>
    <w:rsid w:val="003A15E6"/>
    <w:rsid w:val="003A64C5"/>
    <w:rsid w:val="003B7642"/>
    <w:rsid w:val="003C2B0D"/>
    <w:rsid w:val="003C4608"/>
    <w:rsid w:val="003D5855"/>
    <w:rsid w:val="003E000A"/>
    <w:rsid w:val="003E2F8A"/>
    <w:rsid w:val="003E54FD"/>
    <w:rsid w:val="003E6B16"/>
    <w:rsid w:val="003F3444"/>
    <w:rsid w:val="00411378"/>
    <w:rsid w:val="00414C14"/>
    <w:rsid w:val="00437572"/>
    <w:rsid w:val="004609B9"/>
    <w:rsid w:val="00461497"/>
    <w:rsid w:val="00466B26"/>
    <w:rsid w:val="00476537"/>
    <w:rsid w:val="0048651B"/>
    <w:rsid w:val="004A0F31"/>
    <w:rsid w:val="004B3174"/>
    <w:rsid w:val="004C2D90"/>
    <w:rsid w:val="004D01B9"/>
    <w:rsid w:val="004D4396"/>
    <w:rsid w:val="004D7639"/>
    <w:rsid w:val="004E34D1"/>
    <w:rsid w:val="004E6BA6"/>
    <w:rsid w:val="0051111C"/>
    <w:rsid w:val="00521F43"/>
    <w:rsid w:val="0053135A"/>
    <w:rsid w:val="005A596C"/>
    <w:rsid w:val="005B52C9"/>
    <w:rsid w:val="005C4B95"/>
    <w:rsid w:val="005C5487"/>
    <w:rsid w:val="005C7317"/>
    <w:rsid w:val="005D03F3"/>
    <w:rsid w:val="005D2180"/>
    <w:rsid w:val="005E3230"/>
    <w:rsid w:val="005F03FB"/>
    <w:rsid w:val="00615B27"/>
    <w:rsid w:val="0062237A"/>
    <w:rsid w:val="006335E1"/>
    <w:rsid w:val="00633CED"/>
    <w:rsid w:val="00636AAD"/>
    <w:rsid w:val="006555AE"/>
    <w:rsid w:val="00661111"/>
    <w:rsid w:val="006805D2"/>
    <w:rsid w:val="006A2827"/>
    <w:rsid w:val="006B1911"/>
    <w:rsid w:val="006D1327"/>
    <w:rsid w:val="006E0D05"/>
    <w:rsid w:val="006E7224"/>
    <w:rsid w:val="006E75BF"/>
    <w:rsid w:val="006F0C81"/>
    <w:rsid w:val="00701CB3"/>
    <w:rsid w:val="0070304B"/>
    <w:rsid w:val="00713AD5"/>
    <w:rsid w:val="00713F42"/>
    <w:rsid w:val="00737524"/>
    <w:rsid w:val="007452EF"/>
    <w:rsid w:val="00780A5F"/>
    <w:rsid w:val="00783E0D"/>
    <w:rsid w:val="007A2A62"/>
    <w:rsid w:val="007B6F8C"/>
    <w:rsid w:val="007C5AEE"/>
    <w:rsid w:val="007E5145"/>
    <w:rsid w:val="0080718F"/>
    <w:rsid w:val="008163C5"/>
    <w:rsid w:val="00822A31"/>
    <w:rsid w:val="00823655"/>
    <w:rsid w:val="00832C7A"/>
    <w:rsid w:val="008453E2"/>
    <w:rsid w:val="00850733"/>
    <w:rsid w:val="00866303"/>
    <w:rsid w:val="008B2CC6"/>
    <w:rsid w:val="008D0899"/>
    <w:rsid w:val="008D10D1"/>
    <w:rsid w:val="008E1EC0"/>
    <w:rsid w:val="008E4438"/>
    <w:rsid w:val="009039A5"/>
    <w:rsid w:val="0091481D"/>
    <w:rsid w:val="00931F99"/>
    <w:rsid w:val="00935B13"/>
    <w:rsid w:val="00942558"/>
    <w:rsid w:val="00942B92"/>
    <w:rsid w:val="009478DF"/>
    <w:rsid w:val="00950AD5"/>
    <w:rsid w:val="00963710"/>
    <w:rsid w:val="009769C8"/>
    <w:rsid w:val="00981784"/>
    <w:rsid w:val="009A13CE"/>
    <w:rsid w:val="009D4F40"/>
    <w:rsid w:val="009E1D3A"/>
    <w:rsid w:val="009F51A8"/>
    <w:rsid w:val="009F5318"/>
    <w:rsid w:val="00A2543E"/>
    <w:rsid w:val="00A329DB"/>
    <w:rsid w:val="00A407B7"/>
    <w:rsid w:val="00A57A27"/>
    <w:rsid w:val="00A6081E"/>
    <w:rsid w:val="00A848AF"/>
    <w:rsid w:val="00A858F8"/>
    <w:rsid w:val="00A95F38"/>
    <w:rsid w:val="00A963E2"/>
    <w:rsid w:val="00AB0AE8"/>
    <w:rsid w:val="00AC3118"/>
    <w:rsid w:val="00AC7526"/>
    <w:rsid w:val="00AE0A74"/>
    <w:rsid w:val="00AF517B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51A8A"/>
    <w:rsid w:val="00C81235"/>
    <w:rsid w:val="00C823B7"/>
    <w:rsid w:val="00C9448A"/>
    <w:rsid w:val="00C962BA"/>
    <w:rsid w:val="00CC6464"/>
    <w:rsid w:val="00CE1F20"/>
    <w:rsid w:val="00CF06C0"/>
    <w:rsid w:val="00CF3079"/>
    <w:rsid w:val="00CF3BA9"/>
    <w:rsid w:val="00D06C91"/>
    <w:rsid w:val="00D10AB1"/>
    <w:rsid w:val="00D12359"/>
    <w:rsid w:val="00D268CC"/>
    <w:rsid w:val="00D37029"/>
    <w:rsid w:val="00D3751D"/>
    <w:rsid w:val="00D453E2"/>
    <w:rsid w:val="00D460EE"/>
    <w:rsid w:val="00D463D9"/>
    <w:rsid w:val="00D55459"/>
    <w:rsid w:val="00D81B4A"/>
    <w:rsid w:val="00DA213E"/>
    <w:rsid w:val="00DB1B45"/>
    <w:rsid w:val="00DB1CA2"/>
    <w:rsid w:val="00DD0490"/>
    <w:rsid w:val="00DD55C1"/>
    <w:rsid w:val="00DE2B64"/>
    <w:rsid w:val="00DE6C74"/>
    <w:rsid w:val="00E3166D"/>
    <w:rsid w:val="00E50688"/>
    <w:rsid w:val="00E51FCF"/>
    <w:rsid w:val="00E53AA5"/>
    <w:rsid w:val="00E74392"/>
    <w:rsid w:val="00E927E4"/>
    <w:rsid w:val="00E94A13"/>
    <w:rsid w:val="00E96498"/>
    <w:rsid w:val="00EB1DB6"/>
    <w:rsid w:val="00ED09F8"/>
    <w:rsid w:val="00ED5AC6"/>
    <w:rsid w:val="00ED63EF"/>
    <w:rsid w:val="00EF58C0"/>
    <w:rsid w:val="00F07DD5"/>
    <w:rsid w:val="00F171C6"/>
    <w:rsid w:val="00F36E6D"/>
    <w:rsid w:val="00F5123A"/>
    <w:rsid w:val="00F6531B"/>
    <w:rsid w:val="00F937FF"/>
    <w:rsid w:val="00FD10E7"/>
    <w:rsid w:val="00FD5583"/>
    <w:rsid w:val="00FE5F9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/studenti/esami/modulofrequenz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gnitivelab.it" TargetMode="External"/><Relationship Id="rId12" Type="http://schemas.openxmlformats.org/officeDocument/2006/relationships/hyperlink" Target="http://www.nytimes.com/2010/05/09/magazine/09babies-t.html?_r=1&amp;pagewanted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gnitivelab.it/studenti/esami/calendario-es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10196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11</cp:revision>
  <cp:lastPrinted>2014-09-28T09:34:00Z</cp:lastPrinted>
  <dcterms:created xsi:type="dcterms:W3CDTF">2014-08-05T14:13:00Z</dcterms:created>
  <dcterms:modified xsi:type="dcterms:W3CDTF">2014-09-28T09:34:00Z</dcterms:modified>
</cp:coreProperties>
</file>